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3C519E" w:rsidRDefault="005F7969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ODLUKE O DOPUNAMA ODLUKE O KOMUNALNOJ NAKNADI</w:t>
      </w:r>
    </w:p>
    <w:p w:rsidR="005E42B5" w:rsidRDefault="005E42B5" w:rsidP="00972584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5E42B5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5F7969">
              <w:rPr>
                <w:rFonts w:ascii="Arial Narrow" w:hAnsi="Arial Narrow"/>
                <w:b/>
              </w:rPr>
              <w:t xml:space="preserve">DLUKA O DOPUNAMA </w:t>
            </w:r>
            <w:r>
              <w:rPr>
                <w:rFonts w:ascii="Arial Narrow" w:hAnsi="Arial Narrow"/>
                <w:b/>
              </w:rPr>
              <w:t>ODLUKE O KOMUNALNOJ NAKNADI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5E42B5" w:rsidRPr="005E42B5" w:rsidRDefault="005E42B5" w:rsidP="005E42B5">
            <w:pPr>
              <w:pStyle w:val="box46300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Zbog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proglašene epidemije virusom COVID-19 na području Republike Hrvatske te posljedičnog smanjenja gospodarske aktivnosti,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ovom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mjerom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omogućilo bi se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gospodarskim subjektima na našem području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ublažavanje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negativnih posljedica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koje će se odraziti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na njihovo poslova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je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odnosno omogućavanje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njihovog 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daljnjeg funkcioniranja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  <w:r w:rsidRPr="005E42B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</w:t>
            </w:r>
          </w:p>
          <w:p w:rsidR="00C53A9F" w:rsidRPr="003C519E" w:rsidRDefault="00C53A9F" w:rsidP="003F32F1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5E42B5">
              <w:rPr>
                <w:rFonts w:ascii="Arial Narrow" w:hAnsi="Arial Narrow"/>
                <w:b/>
              </w:rPr>
              <w:t>aključno do 08</w:t>
            </w:r>
            <w:r w:rsidR="00EA3603">
              <w:rPr>
                <w:rFonts w:ascii="Arial Narrow" w:hAnsi="Arial Narrow"/>
                <w:b/>
              </w:rPr>
              <w:t xml:space="preserve">. </w:t>
            </w:r>
            <w:r w:rsidR="005E42B5">
              <w:rPr>
                <w:rFonts w:ascii="Arial Narrow" w:hAnsi="Arial Narrow"/>
                <w:b/>
              </w:rPr>
              <w:t>travnja</w:t>
            </w:r>
            <w:r w:rsidR="00EA3603">
              <w:rPr>
                <w:rFonts w:ascii="Arial Narrow" w:hAnsi="Arial Narrow"/>
                <w:b/>
              </w:rPr>
              <w:t xml:space="preserve"> 2020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A3603">
              <w:rPr>
                <w:rFonts w:ascii="Arial Narrow" w:hAnsi="Arial Narrow"/>
                <w:b/>
              </w:rPr>
              <w:t xml:space="preserve"> do 12</w:t>
            </w:r>
            <w:r w:rsidR="00A2262E">
              <w:rPr>
                <w:rFonts w:ascii="Arial Narrow" w:hAnsi="Arial Narrow"/>
                <w:b/>
              </w:rPr>
              <w:t xml:space="preserve">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5E42B5">
              <w:rPr>
                <w:rFonts w:ascii="Arial Narrow" w:hAnsi="Arial Narrow"/>
              </w:rPr>
              <w:t>Odluke o dopunama Odluke o komunalnoj naknadi''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584"/>
    <w:rsid w:val="000064E2"/>
    <w:rsid w:val="001866EC"/>
    <w:rsid w:val="001948D1"/>
    <w:rsid w:val="001B7723"/>
    <w:rsid w:val="002C5B60"/>
    <w:rsid w:val="002C72FD"/>
    <w:rsid w:val="003C519E"/>
    <w:rsid w:val="003F32F1"/>
    <w:rsid w:val="004A219B"/>
    <w:rsid w:val="00510B9D"/>
    <w:rsid w:val="005C47A1"/>
    <w:rsid w:val="005E42B5"/>
    <w:rsid w:val="005F7969"/>
    <w:rsid w:val="0063065C"/>
    <w:rsid w:val="006F1733"/>
    <w:rsid w:val="00785AA6"/>
    <w:rsid w:val="00852E34"/>
    <w:rsid w:val="00880038"/>
    <w:rsid w:val="00894C50"/>
    <w:rsid w:val="00972584"/>
    <w:rsid w:val="009D5680"/>
    <w:rsid w:val="00A2262E"/>
    <w:rsid w:val="00BC23E3"/>
    <w:rsid w:val="00C24C34"/>
    <w:rsid w:val="00C26146"/>
    <w:rsid w:val="00C53A9F"/>
    <w:rsid w:val="00CA28FE"/>
    <w:rsid w:val="00CD3BDA"/>
    <w:rsid w:val="00CF356E"/>
    <w:rsid w:val="00D04A55"/>
    <w:rsid w:val="00D52FA6"/>
    <w:rsid w:val="00E418AF"/>
    <w:rsid w:val="00E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2D8E-FFFA-4AA5-8679-9E31C323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A6"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customStyle="1" w:styleId="box463008">
    <w:name w:val="box_463008"/>
    <w:basedOn w:val="Normal"/>
    <w:rsid w:val="005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Maja Poje</cp:lastModifiedBy>
  <cp:revision>4</cp:revision>
  <cp:lastPrinted>2015-11-09T08:14:00Z</cp:lastPrinted>
  <dcterms:created xsi:type="dcterms:W3CDTF">2019-11-15T13:22:00Z</dcterms:created>
  <dcterms:modified xsi:type="dcterms:W3CDTF">2020-04-06T09:36:00Z</dcterms:modified>
</cp:coreProperties>
</file>