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A9" w:rsidRPr="003806A9" w:rsidRDefault="002D11A9" w:rsidP="003806A9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val="en-AU" w:eastAsia="hr-HR"/>
        </w:rPr>
      </w:pPr>
      <w:r w:rsidRPr="003806A9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029F3AD" wp14:editId="0475F2CB">
            <wp:simplePos x="0" y="0"/>
            <wp:positionH relativeFrom="column">
              <wp:posOffset>547453</wp:posOffset>
            </wp:positionH>
            <wp:positionV relativeFrom="paragraph">
              <wp:posOffset>-286496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6A9" w:rsidRPr="003806A9" w:rsidRDefault="003806A9" w:rsidP="003806A9">
      <w:pPr>
        <w:spacing w:after="0" w:line="240" w:lineRule="auto"/>
        <w:rPr>
          <w:rFonts w:ascii="Arial" w:eastAsia="Times New Roman" w:hAnsi="Arial"/>
          <w:kern w:val="28"/>
          <w:sz w:val="20"/>
          <w:szCs w:val="20"/>
          <w:lang w:val="en-AU" w:eastAsia="hr-HR"/>
        </w:rPr>
      </w:pPr>
    </w:p>
    <w:p w:rsidR="003806A9" w:rsidRPr="003806A9" w:rsidRDefault="003806A9" w:rsidP="003806A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3806A9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:rsidR="003806A9" w:rsidRPr="003806A9" w:rsidRDefault="002D11A9" w:rsidP="003806A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3806A9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FF90A" wp14:editId="0031BD51">
                <wp:simplePos x="0" y="0"/>
                <wp:positionH relativeFrom="margin">
                  <wp:align>left</wp:align>
                </wp:positionH>
                <wp:positionV relativeFrom="paragraph">
                  <wp:posOffset>7731</wp:posOffset>
                </wp:positionV>
                <wp:extent cx="2043486" cy="1224501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86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1A9" w:rsidRPr="002D11A9" w:rsidRDefault="002D11A9" w:rsidP="002D11A9">
                            <w:pPr>
                              <w:pStyle w:val="Naslov3"/>
                              <w:spacing w:line="240" w:lineRule="atLeast"/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2D11A9">
                              <w:rPr>
                                <w:rFonts w:ascii="Tahoma" w:eastAsia="Times New Roman" w:hAnsi="Tahoma" w:cs="Times New Roman"/>
                                <w:b/>
                                <w:color w:val="auto"/>
                                <w:kern w:val="28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2D11A9" w:rsidRPr="002D11A9" w:rsidRDefault="002D11A9" w:rsidP="002D11A9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sz w:val="18"/>
                              </w:rPr>
                              <w:t xml:space="preserve">  VARAŽDINSKA ŽUPANIJA</w:t>
                            </w:r>
                          </w:p>
                          <w:p w:rsidR="002D11A9" w:rsidRPr="002D11A9" w:rsidRDefault="002D11A9" w:rsidP="002D11A9">
                            <w:pPr>
                              <w:spacing w:after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 xml:space="preserve">      GRAD LEPOGLAVA</w:t>
                            </w:r>
                          </w:p>
                          <w:p w:rsidR="002D11A9" w:rsidRPr="002D11A9" w:rsidRDefault="002D11A9" w:rsidP="002D11A9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Antuna Mihanovića 12</w:t>
                            </w:r>
                          </w:p>
                          <w:p w:rsidR="002D11A9" w:rsidRPr="002D11A9" w:rsidRDefault="002D11A9" w:rsidP="002D11A9">
                            <w:pPr>
                              <w:spacing w:after="0" w:line="240" w:lineRule="atLeast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             42250 Lepoglava</w:t>
                            </w:r>
                          </w:p>
                          <w:p w:rsidR="002D11A9" w:rsidRPr="002D11A9" w:rsidRDefault="002D11A9" w:rsidP="002D11A9">
                            <w:pPr>
                              <w:spacing w:after="0" w:line="240" w:lineRule="atLeast"/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2D11A9" w:rsidRPr="002D11A9" w:rsidRDefault="002D11A9" w:rsidP="002D11A9">
                            <w:pPr>
                              <w:jc w:val="both"/>
                              <w:rPr>
                                <w:rFonts w:ascii="Tahoma" w:hAnsi="Tahoma"/>
                                <w:bCs/>
                                <w:sz w:val="16"/>
                              </w:rPr>
                            </w:pPr>
                            <w:r w:rsidRPr="002D11A9">
                              <w:rPr>
                                <w:rFonts w:ascii="Tahoma" w:hAnsi="Tahoma"/>
                                <w:bCs/>
                                <w:sz w:val="16"/>
                              </w:rPr>
                              <w:t xml:space="preserve">email : </w:t>
                            </w:r>
                            <w:hyperlink r:id="rId5" w:history="1">
                              <w:r w:rsidRPr="002D11A9">
                                <w:rPr>
                                  <w:bCs/>
                                  <w:color w:val="0000FF"/>
                                  <w:sz w:val="16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:rsidR="003806A9" w:rsidRDefault="003806A9" w:rsidP="003806A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FF90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6pt;width:160.9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" stroked="f">
                <v:textbox>
                  <w:txbxContent>
                    <w:p w:rsidR="002D11A9" w:rsidRPr="002D11A9" w:rsidRDefault="002D11A9" w:rsidP="002D11A9">
                      <w:pPr>
                        <w:pStyle w:val="Naslov3"/>
                        <w:spacing w:line="240" w:lineRule="atLeast"/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</w:pPr>
                      <w:r w:rsidRPr="002D11A9">
                        <w:rPr>
                          <w:rFonts w:ascii="Tahoma" w:eastAsia="Times New Roman" w:hAnsi="Tahoma" w:cs="Times New Roman"/>
                          <w:b/>
                          <w:color w:val="auto"/>
                          <w:kern w:val="28"/>
                          <w:sz w:val="20"/>
                          <w:szCs w:val="20"/>
                        </w:rPr>
                        <w:t>REPUBLIKA HRVATSKA</w:t>
                      </w:r>
                    </w:p>
                    <w:p w:rsidR="002D11A9" w:rsidRPr="002D11A9" w:rsidRDefault="002D11A9" w:rsidP="002D11A9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sz w:val="18"/>
                        </w:rPr>
                        <w:t xml:space="preserve"> </w:t>
                      </w:r>
                      <w:r w:rsidRPr="002D11A9">
                        <w:rPr>
                          <w:rFonts w:ascii="Tahoma" w:hAnsi="Tahoma"/>
                          <w:sz w:val="18"/>
                        </w:rPr>
                        <w:t xml:space="preserve"> VARAŽDINSKA ŽUPANIJA</w:t>
                      </w:r>
                    </w:p>
                    <w:p w:rsidR="002D11A9" w:rsidRPr="002D11A9" w:rsidRDefault="002D11A9" w:rsidP="002D11A9">
                      <w:pPr>
                        <w:spacing w:after="0" w:line="240" w:lineRule="atLeast"/>
                        <w:rPr>
                          <w:rFonts w:ascii="Tahoma" w:hAnsi="Tahoma"/>
                          <w:sz w:val="18"/>
                        </w:rPr>
                      </w:pPr>
                      <w:r w:rsidRPr="002D11A9">
                        <w:rPr>
                          <w:rFonts w:ascii="Tahoma" w:hAnsi="Tahoma"/>
                          <w:b/>
                          <w:sz w:val="18"/>
                        </w:rPr>
                        <w:t xml:space="preserve">     </w:t>
                      </w:r>
                      <w:r w:rsidRPr="002D11A9">
                        <w:rPr>
                          <w:rFonts w:ascii="Tahoma" w:hAnsi="Tahoma"/>
                          <w:b/>
                          <w:sz w:val="18"/>
                        </w:rPr>
                        <w:t xml:space="preserve"> GRAD LEPOGLAVA</w:t>
                      </w:r>
                    </w:p>
                    <w:p w:rsidR="002D11A9" w:rsidRPr="002D11A9" w:rsidRDefault="002D11A9" w:rsidP="002D11A9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</w:t>
                      </w: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>Antuna Mihanovića 12</w:t>
                      </w:r>
                    </w:p>
                    <w:p w:rsidR="002D11A9" w:rsidRPr="002D11A9" w:rsidRDefault="002D11A9" w:rsidP="002D11A9">
                      <w:pPr>
                        <w:spacing w:after="0" w:line="240" w:lineRule="atLeast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             </w:t>
                      </w: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>42250 Lepoglava</w:t>
                      </w:r>
                    </w:p>
                    <w:p w:rsidR="002D11A9" w:rsidRPr="002D11A9" w:rsidRDefault="002D11A9" w:rsidP="002D11A9">
                      <w:pPr>
                        <w:spacing w:after="0" w:line="240" w:lineRule="atLeast"/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>tel. 042 770 411, fax 042 770 419</w:t>
                      </w:r>
                    </w:p>
                    <w:p w:rsidR="002D11A9" w:rsidRPr="002D11A9" w:rsidRDefault="002D11A9" w:rsidP="002D11A9">
                      <w:pPr>
                        <w:jc w:val="both"/>
                        <w:rPr>
                          <w:rFonts w:ascii="Tahoma" w:hAnsi="Tahoma"/>
                          <w:bCs/>
                          <w:sz w:val="16"/>
                        </w:rPr>
                      </w:pPr>
                      <w:r w:rsidRPr="002D11A9">
                        <w:rPr>
                          <w:rFonts w:ascii="Tahoma" w:hAnsi="Tahoma"/>
                          <w:bCs/>
                          <w:sz w:val="16"/>
                        </w:rPr>
                        <w:t xml:space="preserve">email : </w:t>
                      </w:r>
                      <w:hyperlink r:id="rId6" w:history="1">
                        <w:r w:rsidRPr="002D11A9">
                          <w:rPr>
                            <w:bCs/>
                            <w:color w:val="0000FF"/>
                            <w:sz w:val="16"/>
                            <w:u w:val="single"/>
                          </w:rPr>
                          <w:t>lepoglava@lepoglava.hr</w:t>
                        </w:r>
                      </w:hyperlink>
                    </w:p>
                    <w:p w:rsidR="003806A9" w:rsidRDefault="003806A9" w:rsidP="003806A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1A9" w:rsidRPr="002D11A9" w:rsidRDefault="002D11A9" w:rsidP="002D11A9">
      <w:pPr>
        <w:pStyle w:val="Naslov3"/>
        <w:spacing w:line="240" w:lineRule="atLeast"/>
        <w:rPr>
          <w:rFonts w:ascii="Tahoma" w:hAnsi="Tahoma"/>
          <w:bCs/>
          <w:sz w:val="14"/>
        </w:rPr>
      </w:pPr>
      <w:r>
        <w:rPr>
          <w:rFonts w:ascii="Times New Roman" w:eastAsia="Times New Roman" w:hAnsi="Times New Roman"/>
          <w:lang w:eastAsia="hr-HR"/>
        </w:rPr>
        <w:tab/>
      </w:r>
    </w:p>
    <w:p w:rsidR="003806A9" w:rsidRPr="003806A9" w:rsidRDefault="003806A9" w:rsidP="00380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806A9" w:rsidRPr="003806A9" w:rsidRDefault="003806A9" w:rsidP="00380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806A9" w:rsidRPr="003806A9" w:rsidRDefault="003806A9" w:rsidP="00380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806A9" w:rsidRPr="003806A9" w:rsidRDefault="003806A9" w:rsidP="003806A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D11A9" w:rsidRDefault="002D11A9" w:rsidP="003806A9">
      <w:pPr>
        <w:spacing w:after="0" w:line="240" w:lineRule="auto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uto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Gradsko vijeće</w:t>
      </w:r>
    </w:p>
    <w:p w:rsidR="003806A9" w:rsidRPr="003806A9" w:rsidRDefault="003806A9" w:rsidP="003806A9">
      <w:pPr>
        <w:spacing w:after="0" w:line="240" w:lineRule="auto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 xml:space="preserve">Klasa: </w:t>
      </w:r>
      <w:r w:rsidR="00FD7559">
        <w:rPr>
          <w:rFonts w:eastAsia="Times New Roman"/>
          <w:lang w:eastAsia="hr-HR"/>
        </w:rPr>
        <w:t>400-08/2</w:t>
      </w:r>
      <w:r w:rsidR="00133A03">
        <w:rPr>
          <w:rFonts w:eastAsia="Times New Roman"/>
          <w:lang w:eastAsia="hr-HR"/>
        </w:rPr>
        <w:t>1</w:t>
      </w:r>
      <w:r w:rsidR="00FD7559">
        <w:rPr>
          <w:rFonts w:eastAsia="Times New Roman"/>
          <w:lang w:eastAsia="hr-HR"/>
        </w:rPr>
        <w:t>-01/</w:t>
      </w:r>
      <w:r w:rsidR="00147E18">
        <w:rPr>
          <w:rFonts w:eastAsia="Times New Roman"/>
          <w:lang w:eastAsia="hr-HR"/>
        </w:rPr>
        <w:t>4</w:t>
      </w:r>
    </w:p>
    <w:p w:rsidR="003806A9" w:rsidRPr="003806A9" w:rsidRDefault="003806A9" w:rsidP="003806A9">
      <w:pPr>
        <w:spacing w:after="0" w:line="240" w:lineRule="auto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 xml:space="preserve">Urbroj: </w:t>
      </w:r>
      <w:r w:rsidR="00FD7559">
        <w:rPr>
          <w:rFonts w:eastAsia="Times New Roman"/>
          <w:lang w:eastAsia="hr-HR"/>
        </w:rPr>
        <w:t>21876/016-03-2</w:t>
      </w:r>
      <w:r w:rsidR="009B138D">
        <w:rPr>
          <w:rFonts w:eastAsia="Times New Roman"/>
          <w:lang w:eastAsia="hr-HR"/>
        </w:rPr>
        <w:t>1-5</w:t>
      </w:r>
    </w:p>
    <w:p w:rsidR="003806A9" w:rsidRPr="003806A9" w:rsidRDefault="00133A03" w:rsidP="003806A9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Lepoglava, </w:t>
      </w:r>
      <w:r w:rsidR="009B138D">
        <w:rPr>
          <w:rFonts w:eastAsia="Times New Roman"/>
          <w:lang w:eastAsia="hr-HR"/>
        </w:rPr>
        <w:t>22.12.2021.</w:t>
      </w:r>
    </w:p>
    <w:p w:rsidR="003806A9" w:rsidRPr="003806A9" w:rsidRDefault="003806A9" w:rsidP="003806A9">
      <w:pPr>
        <w:spacing w:after="0" w:line="240" w:lineRule="auto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 xml:space="preserve">Temeljem </w:t>
      </w:r>
      <w:bookmarkStart w:id="0" w:name="_GoBack"/>
      <w:r w:rsidRPr="003806A9">
        <w:rPr>
          <w:rFonts w:eastAsia="Times New Roman"/>
          <w:lang w:eastAsia="hr-HR"/>
        </w:rPr>
        <w:t>odredbe članka 14. Zakona o proračunu („Narodne novine“ br</w:t>
      </w:r>
      <w:r w:rsidR="00133A03">
        <w:rPr>
          <w:rFonts w:eastAsia="Times New Roman"/>
          <w:lang w:eastAsia="hr-HR"/>
        </w:rPr>
        <w:t>oj</w:t>
      </w:r>
      <w:r w:rsidRPr="003806A9">
        <w:rPr>
          <w:rFonts w:eastAsia="Times New Roman"/>
          <w:lang w:eastAsia="hr-HR"/>
        </w:rPr>
        <w:t xml:space="preserve"> 87/08, 136/12 i 15/15), članka 22. Statuta Grada Lepoglave („Službeni vjesnik Varaždinske župa</w:t>
      </w:r>
      <w:r>
        <w:rPr>
          <w:rFonts w:eastAsia="Times New Roman"/>
          <w:lang w:eastAsia="hr-HR"/>
        </w:rPr>
        <w:t>nije“ broj 64/20</w:t>
      </w:r>
      <w:r w:rsidR="00133A03">
        <w:rPr>
          <w:rFonts w:eastAsia="Times New Roman"/>
          <w:lang w:eastAsia="hr-HR"/>
        </w:rPr>
        <w:t xml:space="preserve"> i 18/21</w:t>
      </w:r>
      <w:r w:rsidRPr="003806A9">
        <w:rPr>
          <w:rFonts w:eastAsia="Times New Roman"/>
          <w:lang w:eastAsia="hr-HR"/>
        </w:rPr>
        <w:t xml:space="preserve">) i članka 17. Poslovnika Gradskog vijeća Grada Lepoglave („Službeni vjesnik Varaždinske županije“ broj </w:t>
      </w:r>
      <w:r w:rsidR="00133A03">
        <w:rPr>
          <w:rFonts w:eastAsia="Times New Roman"/>
          <w:lang w:eastAsia="hr-HR"/>
        </w:rPr>
        <w:t>18/21</w:t>
      </w:r>
      <w:r w:rsidRPr="003806A9">
        <w:rPr>
          <w:rFonts w:eastAsia="Times New Roman"/>
          <w:lang w:eastAsia="hr-HR"/>
        </w:rPr>
        <w:t>)</w:t>
      </w:r>
      <w:bookmarkEnd w:id="0"/>
      <w:r w:rsidRPr="003806A9">
        <w:rPr>
          <w:rFonts w:eastAsia="Times New Roman"/>
          <w:lang w:eastAsia="hr-HR"/>
        </w:rPr>
        <w:t>, Gradsko vijeće Grada Lepoglave, nakon provedenog savjetovanja sa zainteresiranom javnošću</w:t>
      </w:r>
      <w:r w:rsidR="00133A03">
        <w:rPr>
          <w:rFonts w:eastAsia="Times New Roman"/>
          <w:lang w:eastAsia="hr-HR"/>
        </w:rPr>
        <w:t>,</w:t>
      </w:r>
      <w:r w:rsidRPr="003806A9">
        <w:rPr>
          <w:rFonts w:eastAsia="Times New Roman"/>
          <w:lang w:eastAsia="hr-HR"/>
        </w:rPr>
        <w:t xml:space="preserve"> na</w:t>
      </w:r>
      <w:r>
        <w:rPr>
          <w:rFonts w:eastAsia="Times New Roman"/>
          <w:lang w:eastAsia="hr-HR"/>
        </w:rPr>
        <w:t xml:space="preserve"> </w:t>
      </w:r>
      <w:r w:rsidR="00133A03">
        <w:rPr>
          <w:rFonts w:eastAsia="Times New Roman"/>
          <w:lang w:eastAsia="hr-HR"/>
        </w:rPr>
        <w:t>5</w:t>
      </w:r>
      <w:r w:rsidRPr="003806A9">
        <w:rPr>
          <w:rFonts w:eastAsia="Times New Roman"/>
          <w:lang w:eastAsia="hr-HR"/>
        </w:rPr>
        <w:t>. sjednici</w:t>
      </w:r>
      <w:r>
        <w:rPr>
          <w:rFonts w:eastAsia="Times New Roman"/>
          <w:lang w:eastAsia="hr-HR"/>
        </w:rPr>
        <w:t xml:space="preserve"> održanoj  </w:t>
      </w:r>
      <w:r w:rsidR="009B138D">
        <w:rPr>
          <w:rFonts w:eastAsia="Times New Roman"/>
          <w:lang w:eastAsia="hr-HR"/>
        </w:rPr>
        <w:t>22.12.2021.</w:t>
      </w:r>
      <w:r w:rsidRPr="003806A9">
        <w:rPr>
          <w:rFonts w:eastAsia="Times New Roman"/>
          <w:lang w:eastAsia="hr-HR"/>
        </w:rPr>
        <w:t xml:space="preserve"> godine, donosi</w:t>
      </w:r>
    </w:p>
    <w:p w:rsidR="003806A9" w:rsidRPr="003806A9" w:rsidRDefault="003806A9" w:rsidP="003806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3806A9" w:rsidRPr="00D118BD" w:rsidRDefault="003806A9" w:rsidP="003806A9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 xml:space="preserve">O  D   L  U  K  U  </w:t>
      </w: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o izvršavanju Proračuna Grada Lepoglave za 202</w:t>
      </w:r>
      <w:r w:rsidR="00133A03" w:rsidRPr="00D118BD">
        <w:rPr>
          <w:rFonts w:eastAsia="Times New Roman"/>
          <w:b/>
          <w:bCs/>
          <w:lang w:eastAsia="hr-HR"/>
        </w:rPr>
        <w:t>2</w:t>
      </w:r>
      <w:r w:rsidRPr="00D118BD">
        <w:rPr>
          <w:rFonts w:eastAsia="Times New Roman"/>
          <w:b/>
          <w:bCs/>
          <w:lang w:eastAsia="hr-HR"/>
        </w:rPr>
        <w:t>. godinu</w:t>
      </w:r>
    </w:p>
    <w:p w:rsidR="003806A9" w:rsidRPr="00D118BD" w:rsidRDefault="003806A9" w:rsidP="003806A9">
      <w:pPr>
        <w:spacing w:after="0" w:line="240" w:lineRule="auto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1.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Ovom Odlukom se uređuje struktura prihoda i primitaka te rashoda i izdataka Proračuna Grada Lepoglave za 202</w:t>
      </w:r>
      <w:r w:rsidR="002D11A9" w:rsidRPr="00D118BD">
        <w:rPr>
          <w:rFonts w:eastAsia="Times New Roman"/>
          <w:lang w:eastAsia="hr-HR"/>
        </w:rPr>
        <w:t>2</w:t>
      </w:r>
      <w:r w:rsidRPr="00D118BD">
        <w:rPr>
          <w:rFonts w:eastAsia="Times New Roman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2.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color w:val="FF0000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3.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Proračun se sastoji od Općeg i Posebnog dijela te Plana razvojnih programa.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 xml:space="preserve">Opći dio Proračuna se sastoji od Računa prihoda i rashoda i Računa financiranja. 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Posebni dio sastoji se od plana rashoda i izdataka proračunskih korisnika iskazanih po vrstama, raspoređenih u programe koji se sastoje od aktivnosti i projekata.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U Planu razvojnih programa prikazuju se ciljevi i prioriteti razvoja Grada Lepoglave povezani sa programskom i organizacijskom klasifikacijom proračuna, koji su razrađeni po pojedinim programima, po godinama u kojima će rashodi za programe teretiti proračune sljedećih godina te po izvorima financiranja za cjelovitu izvedbu programa.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U Računu prihoda i rashoda iskazani su prihodi poslovanja, prihodi od prodaje nefinancijske imovine te rashodi poslovanja i rashodi za nabavu nefinancijske imovine.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Prihodi poslovanja su: prihodi od poreza, pomoći, prihodi od imovine, prihodi od pristojbi, prihodi po posebnim propisima, kazne, upravne mjere i ostali prihodi.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 xml:space="preserve">Prihodi od prodaje nefinancijske imovine su: prihodi od prodaje </w:t>
      </w:r>
      <w:proofErr w:type="spellStart"/>
      <w:r w:rsidRPr="00D118BD">
        <w:rPr>
          <w:rFonts w:eastAsia="Times New Roman"/>
          <w:bCs/>
          <w:lang w:eastAsia="hr-HR"/>
        </w:rPr>
        <w:t>neproizvedene</w:t>
      </w:r>
      <w:proofErr w:type="spellEnd"/>
      <w:r w:rsidRPr="00D118BD">
        <w:rPr>
          <w:rFonts w:eastAsia="Times New Roman"/>
          <w:bCs/>
          <w:lang w:eastAsia="hr-HR"/>
        </w:rPr>
        <w:t xml:space="preserve"> imovine i prihodi od prodaje proizvedene dugotrajne imovine.</w:t>
      </w:r>
    </w:p>
    <w:p w:rsidR="003806A9" w:rsidRPr="00D118BD" w:rsidRDefault="003806A9" w:rsidP="003806A9">
      <w:pPr>
        <w:spacing w:after="0" w:line="240" w:lineRule="auto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lastRenderedPageBreak/>
        <w:t>Rashodi poslovanja su: materijalni rashodi, rashodi za zaposlene, financijski rashodi,  subvencije, naknade građanima i kućanstvima na temelju osiguranja i druge naknade, donacije i ostali rashodi u skladu sa zakonom, odlukama i drugim propisima.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 xml:space="preserve">Rashodi za nabavu nefinancijske imovine su: rashodi za nabavu </w:t>
      </w:r>
      <w:proofErr w:type="spellStart"/>
      <w:r w:rsidRPr="00D118BD">
        <w:rPr>
          <w:rFonts w:eastAsia="Times New Roman"/>
          <w:bCs/>
          <w:lang w:eastAsia="hr-HR"/>
        </w:rPr>
        <w:t>neproizvedene</w:t>
      </w:r>
      <w:proofErr w:type="spellEnd"/>
      <w:r w:rsidRPr="00D118BD">
        <w:rPr>
          <w:rFonts w:eastAsia="Times New Roman"/>
          <w:bCs/>
          <w:lang w:eastAsia="hr-HR"/>
        </w:rPr>
        <w:t xml:space="preserve"> imovine, rashodi za nabavu proizvedene dugotrajne imovine, rashodi za dodatna ulaganja na nefinancijskoj imovini.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18BD">
        <w:rPr>
          <w:rFonts w:eastAsia="Times New Roman"/>
          <w:bCs/>
          <w:lang w:eastAsia="hr-HR"/>
        </w:rPr>
        <w:t>U Računu financiranja iskazuju se primici od financijske imovine i zaduživanja te izdaci za financijsku imovinu i otplate zajmova.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4.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Na temelju sredstava osiguranih u Proračunu, korisnici izrađuju financijske planove po mjesecima, za cijelu godinu.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:rsidR="003806A9" w:rsidRPr="00D118BD" w:rsidRDefault="003806A9" w:rsidP="003806A9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 xml:space="preserve">Članak 5. 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Vlastite prihode koje korisnici ostvare obavljanjem osnovne i ostalih djelatnosti na tržištu i u tržišnim uvjetima  ili temeljem posebnih propisa, iste koriste za namjene utvrđene u Posebnom dijelu proračuna i financijskim planovima, bez obveze uplate tih sredstava u Proračun.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:rsidR="003806A9" w:rsidRPr="00D118BD" w:rsidRDefault="003806A9" w:rsidP="003806A9">
      <w:pPr>
        <w:spacing w:after="0" w:line="240" w:lineRule="auto"/>
        <w:ind w:firstLine="708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6.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Proračunski korisnici dužni su Odjeku za proračun i financije Grada Lepoglave do 15. 07. dostaviti financijski izvještaj za razdoblje od 01.01. do 30.06. 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Proračunski korisnici u obvezi su izraditi godišnji obračun za tekuću godinu i dostaviti ga Odsjeku za proračun i financije Grada Lepoglave do 15.  veljače naredne godine.</w:t>
      </w:r>
    </w:p>
    <w:p w:rsidR="003806A9" w:rsidRPr="00D118BD" w:rsidRDefault="003806A9" w:rsidP="003806A9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18BD">
        <w:rPr>
          <w:rFonts w:eastAsia="Times New Roman"/>
          <w:b/>
          <w:bCs/>
          <w:lang w:eastAsia="hr-HR"/>
        </w:rPr>
        <w:t>Članak 7.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Odsjek za proračun i financije Grada Lepoglave izrađuje financijske tromjesečne planove izvršenja po korisnicima i izdacima.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Proračun se izvršava na temelju tromjesečnih planova za izvršavanje Proračuna, u skladu s njegovim likvidnim mogućnostima.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Iznimno, zbog neusklađenosti priljeva sredstava u Proračun s tromjesečnim planovima rashoda, gradonačelnik može izmijeniti dinamiku izvršavanja Proračuna.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Izdaci koji nisu predviđeni tromjesečnim planom za izvršavanje Proračuna ili izdaci koji zahtijevaju prekoračenje pojedinih stavki u tromjesečnom planu za izvršavanje Proračuna, mogu se podmiriti uz suglasnost gradonačelnika.</w:t>
      </w: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8.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Ukoliko  u tijeku proračunske godine dođe do znatnije neusklađenosti planiranih prihoda i /ili primitaka i rashoda i/ili izdataka Proračuna, gradonačelnik može poduzeti mjere za uravnoteženje u sklada sa Zakonom o proračunu.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9.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Gradonačelnik može odobriti preraspodjelu sredstava  unutar pojedinog razdjela i između pojedinih razdjela, s time da umanjenje pojedine pozicije ne može biti veće od 5 %  rashoda i izdataka  utvrđenih na poziciji koja se umanjuje.</w:t>
      </w: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uto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 izvršenoj preraspodjeli sredstava iz prethodnog stavka ovog članka, gradonačelnik izvješćuje Gradsko vijeće na prvoj narednoj sjednici, a najkasnije u roku od tri mjeseca.</w:t>
      </w:r>
    </w:p>
    <w:p w:rsidR="003806A9" w:rsidRPr="00D118BD" w:rsidRDefault="003806A9" w:rsidP="003806A9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10.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Za zakonito i pravilno planiranje i izvršavanje proračuna odgovoran je Gradonačelnik.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Odgovornost za izvršavanje Proračuna gradonačelnika jest odgovornost za preuzimanje i potvrđivanje obveza, izdavanje naloga za plaćanje na teret proračunskih sredstava te utvrđivanje prava naplate i izdavanje naloga za naplatu u korist proračunskih sredstava.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11.</w:t>
      </w:r>
    </w:p>
    <w:p w:rsidR="00AB271C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Plaćanje predujma moguće je samo iznimno, i to na temelju preth</w:t>
      </w:r>
      <w:r w:rsidR="002D11A9" w:rsidRPr="00D118BD">
        <w:rPr>
          <w:rFonts w:eastAsia="Times New Roman"/>
          <w:lang w:eastAsia="hr-HR"/>
        </w:rPr>
        <w:t>odne suglasnosti gradonačelnika</w:t>
      </w:r>
      <w:r w:rsidRPr="00D118BD">
        <w:rPr>
          <w:rFonts w:eastAsia="Times New Roman"/>
          <w:lang w:eastAsia="hr-HR"/>
        </w:rPr>
        <w:t>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12.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Postupci nabave roba i usluga procijenjene vrijednosti do 200.000,00 kuna, odnosno za nabavu radova do 500.000,00 kuna provode se u skladu sa propisima o javnoj nabavi, a pitanja nabave do navedenih vrijednosti provode se u skladu s Pravilnikom o provedbi postupaka jednostavne nabave(„Službeni vjesnik Varaždinske županije“ broj 21/17).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13.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Rashodi i izdaci proračuna mogu se izvršavati do iznosa planiranih, odnosno ostvarenih u prihodovnoj strani proračuna.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Svaki rashod i izdatak iz Proračuna mora se temeljiti na vjerodostojnoj knjigovodstvenoj ispravi kojom se dokazuje obveza plaćanja. 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Odgovorna osoba mora prije isplate provjeriti i potpisom potvrditi  pravni temelj i visinu obveze koja proizlazi iz knjigovodstvene isprave.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14.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Pogrešno ili više uplaćeni prihodi u Proračun, na temelju dokumentiranog zahtjeva i naloga gradonačelnika, vraćaju se uplatiteljima na teret tih prihoda.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lang w:eastAsia="hr-HR"/>
        </w:rPr>
      </w:pPr>
      <w:r w:rsidRPr="00D118BD">
        <w:rPr>
          <w:rFonts w:eastAsia="Times New Roman"/>
          <w:b/>
          <w:lang w:eastAsia="hr-HR"/>
        </w:rPr>
        <w:t>Članak 15.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U proračunu se utvrđuju sredstva za proračunsku zalihu.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 xml:space="preserve">U proračunsku zalihu izdvaja se najviše 0,50 % planiranih proračunskih prihoda bez primitaka, a koristi se za namjene utvrđene zakonom. 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U Proračunu za 202</w:t>
      </w:r>
      <w:r w:rsidR="00AB271C" w:rsidRPr="00D118BD">
        <w:rPr>
          <w:rFonts w:eastAsia="Times New Roman"/>
          <w:lang w:eastAsia="hr-HR"/>
        </w:rPr>
        <w:t>2</w:t>
      </w:r>
      <w:r w:rsidRPr="00D118BD">
        <w:rPr>
          <w:rFonts w:eastAsia="Times New Roman"/>
          <w:lang w:eastAsia="hr-HR"/>
        </w:rPr>
        <w:t>. godinu planirana su sredstva proračunske zalihe u iznosu od 20.000,00  kuna.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O korištenju sredstava proračunske zalihe odlučuje gradonačelnik i o tome mjesečno izvješćuje Gradsko vijeće.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lastRenderedPageBreak/>
        <w:t>Članak 16.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Financijski dijelovi posebnih programa javnih potreba koji se donose uz Proračun, izvršavat će se na način i u iznosima utvrđenim tim programima.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Zbog izuzetnih okolnosti i opravdanih razloga programi javnih potreba mogu se izvršavati i u iznosima drugačijim od planiranih, sukladno izmjenama i dopunama Proračuna 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17.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18BD">
        <w:rPr>
          <w:rFonts w:eastAsia="Times New Roman"/>
          <w:lang w:eastAsia="hr-HR"/>
        </w:rPr>
        <w:t>Sredstva namijenjena financiranju dobrovoljnog vatrogastva realizirati će se putem gradske Vatrogasne zajednice, kroz jednake mjesečne donacije.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Raspored sredstava vatrogastva donosi Vatrogasna zajednica Grada Lepoglave uz suglasnost Gradonačelnika, u skladu sa raspoloživim sredstvima.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18.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18BD">
        <w:rPr>
          <w:rFonts w:eastAsia="Times New Roman"/>
          <w:lang w:eastAsia="hr-HR"/>
        </w:rPr>
        <w:t>Višak prihoda koji nastane na kraju proračunske godine zbog tehničkih i drugih nemogućnosti izvršenja planiranih rashoda  ili većeg priljeva prihoda od planiranog i raspoređenog, rasporedit će se odlukom Gradskog vijeća, prilikom donošenja Godišnjeg izvještaja o izvršenju  Proračuna.</w:t>
      </w: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D118BD">
        <w:rPr>
          <w:rFonts w:eastAsia="Times New Roman"/>
          <w:lang w:eastAsia="hr-HR"/>
        </w:rPr>
        <w:t>U slučaju nastanka proračunskog manjka, kod donošenja Godišnjeg izvještaja  iz prethodnog stavka, odlukom Gradskog vijeća utvrditi će se način njegovog pokrića.</w:t>
      </w:r>
    </w:p>
    <w:p w:rsidR="003806A9" w:rsidRPr="00D118BD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D118BD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18BD">
        <w:rPr>
          <w:rFonts w:eastAsia="Times New Roman"/>
          <w:b/>
          <w:lang w:eastAsia="hr-HR"/>
        </w:rPr>
        <w:t>Članak 19.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Grad se može zaduživati za kapitalna ulaganja, u skladu sa Zakonom i drugim propisima.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Odluku o zaduživanju i davanju jamstva donosi Gradsko vijeće, uz suglasnost i po postupku propisanom Zakonom.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Pravna osoba u većinskom vlasništvu ili suvlasništvu Grada i ustanova kojoj je Grad osnivač može se dugoročno zaduživati samo za investiciju uz suglasnost većinskog vlasnika odnosno osnivača.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Default="003806A9" w:rsidP="003806A9">
      <w:pPr>
        <w:spacing w:after="0" w:line="240" w:lineRule="atLeast"/>
        <w:rPr>
          <w:rFonts w:eastAsia="Times New Roman"/>
          <w:color w:val="FF0000"/>
          <w:lang w:eastAsia="hr-HR"/>
        </w:rPr>
      </w:pPr>
      <w:r>
        <w:rPr>
          <w:rFonts w:eastAsia="Times New Roman"/>
          <w:lang w:eastAsia="hr-HR"/>
        </w:rPr>
        <w:t>Ukupna obveza Grada Lepoglave na dan 31. 12. 202</w:t>
      </w:r>
      <w:r w:rsidR="00AB271C">
        <w:rPr>
          <w:rFonts w:eastAsia="Times New Roman"/>
          <w:lang w:eastAsia="hr-HR"/>
        </w:rPr>
        <w:t>2</w:t>
      </w:r>
      <w:r>
        <w:rPr>
          <w:rFonts w:eastAsia="Times New Roman"/>
          <w:lang w:eastAsia="hr-HR"/>
        </w:rPr>
        <w:t>. po osnovi</w:t>
      </w:r>
      <w:r w:rsidR="001A182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dugoročnog </w:t>
      </w:r>
      <w:r w:rsidR="001A1829">
        <w:rPr>
          <w:rFonts w:eastAsia="Times New Roman"/>
          <w:lang w:eastAsia="hr-HR"/>
        </w:rPr>
        <w:t xml:space="preserve">vlastitog </w:t>
      </w:r>
      <w:r>
        <w:rPr>
          <w:rFonts w:eastAsia="Times New Roman"/>
          <w:lang w:eastAsia="hr-HR"/>
        </w:rPr>
        <w:t xml:space="preserve">zaduženja očekuje se u </w:t>
      </w:r>
      <w:r w:rsidRPr="00D118BD">
        <w:rPr>
          <w:rFonts w:eastAsia="Times New Roman"/>
          <w:lang w:eastAsia="hr-HR"/>
        </w:rPr>
        <w:t xml:space="preserve">iznosu od </w:t>
      </w:r>
      <w:r w:rsidR="00D118BD" w:rsidRPr="00D118BD">
        <w:rPr>
          <w:rFonts w:eastAsia="Times New Roman"/>
          <w:lang w:eastAsia="hr-HR"/>
        </w:rPr>
        <w:t>1.750.000,00</w:t>
      </w:r>
      <w:r w:rsidRPr="00D118BD">
        <w:rPr>
          <w:rFonts w:eastAsia="Times New Roman"/>
          <w:lang w:eastAsia="hr-HR"/>
        </w:rPr>
        <w:t xml:space="preserve"> kuna.</w:t>
      </w:r>
    </w:p>
    <w:p w:rsidR="00AB271C" w:rsidRPr="00AB271C" w:rsidRDefault="00AB271C" w:rsidP="003806A9">
      <w:pPr>
        <w:spacing w:after="0" w:line="240" w:lineRule="atLeast"/>
        <w:rPr>
          <w:rFonts w:eastAsia="Times New Roman"/>
          <w:b/>
          <w:color w:val="FF0000"/>
          <w:lang w:eastAsia="hr-HR"/>
        </w:rPr>
      </w:pPr>
    </w:p>
    <w:p w:rsidR="003806A9" w:rsidRPr="003806A9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3806A9">
        <w:rPr>
          <w:rFonts w:eastAsia="Times New Roman"/>
          <w:b/>
          <w:lang w:eastAsia="hr-HR"/>
        </w:rPr>
        <w:t>Članak 20.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3806A9">
        <w:rPr>
          <w:rFonts w:eastAsia="Times New Roman"/>
          <w:b/>
          <w:lang w:eastAsia="hr-HR"/>
        </w:rPr>
        <w:t>Članak 21.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Godišnji i polugodišnji izvještaj o izvršenju Proračuna dostavlja se gradonačelniku i Gradskom vijeću u rokovima  propisanim Zakonom o proračunu.</w:t>
      </w:r>
    </w:p>
    <w:p w:rsidR="003806A9" w:rsidRPr="003806A9" w:rsidRDefault="003806A9" w:rsidP="003806A9">
      <w:pPr>
        <w:spacing w:after="0" w:line="240" w:lineRule="atLeast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3806A9">
        <w:rPr>
          <w:rFonts w:eastAsia="Times New Roman"/>
          <w:b/>
          <w:lang w:eastAsia="hr-HR"/>
        </w:rPr>
        <w:t>Članak 22.</w:t>
      </w:r>
    </w:p>
    <w:p w:rsidR="003806A9" w:rsidRPr="003806A9" w:rsidRDefault="003806A9" w:rsidP="003806A9">
      <w:pPr>
        <w:spacing w:after="0" w:line="240" w:lineRule="atLeast"/>
        <w:jc w:val="both"/>
        <w:rPr>
          <w:rFonts w:eastAsia="Times New Roman"/>
          <w:lang w:eastAsia="hr-HR"/>
        </w:rPr>
      </w:pPr>
      <w:r w:rsidRPr="003806A9">
        <w:rPr>
          <w:rFonts w:eastAsia="Times New Roman"/>
          <w:lang w:eastAsia="hr-HR"/>
        </w:rPr>
        <w:t>Ova Odluka stupa na snagu osmog dana od dana objave u Službenom vjesniku Varaždinske županije.</w:t>
      </w:r>
    </w:p>
    <w:p w:rsidR="003806A9" w:rsidRPr="003806A9" w:rsidRDefault="003806A9" w:rsidP="003806A9">
      <w:pPr>
        <w:spacing w:after="0" w:line="240" w:lineRule="atLeast"/>
        <w:ind w:firstLine="708"/>
        <w:jc w:val="both"/>
        <w:rPr>
          <w:rFonts w:eastAsia="Times New Roman"/>
          <w:b/>
          <w:lang w:eastAsia="hr-HR"/>
        </w:rPr>
      </w:pPr>
    </w:p>
    <w:p w:rsidR="003806A9" w:rsidRPr="003806A9" w:rsidRDefault="003806A9" w:rsidP="003806A9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</w:p>
    <w:p w:rsidR="003806A9" w:rsidRPr="003806A9" w:rsidRDefault="003806A9" w:rsidP="003806A9">
      <w:pPr>
        <w:spacing w:after="0" w:line="240" w:lineRule="auto"/>
        <w:ind w:firstLine="708"/>
        <w:jc w:val="right"/>
        <w:rPr>
          <w:rFonts w:eastAsia="Times New Roman"/>
          <w:b/>
          <w:bCs/>
          <w:lang w:eastAsia="hr-HR"/>
        </w:rPr>
      </w:pPr>
      <w:r w:rsidRPr="003806A9">
        <w:rPr>
          <w:rFonts w:eastAsia="Times New Roman"/>
          <w:b/>
          <w:bCs/>
          <w:lang w:eastAsia="hr-HR"/>
        </w:rPr>
        <w:t>PREDSJEDNIK VIJEĆA</w:t>
      </w:r>
    </w:p>
    <w:p w:rsidR="003806A9" w:rsidRPr="003806A9" w:rsidRDefault="00AB271C" w:rsidP="003806A9">
      <w:pPr>
        <w:spacing w:after="0" w:line="240" w:lineRule="auto"/>
        <w:ind w:firstLine="708"/>
        <w:jc w:val="right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Hrvoje Kovač</w:t>
      </w:r>
      <w:r w:rsidR="00147E18">
        <w:rPr>
          <w:rFonts w:eastAsia="Times New Roman"/>
          <w:bCs/>
          <w:lang w:eastAsia="hr-HR"/>
        </w:rPr>
        <w:tab/>
      </w:r>
    </w:p>
    <w:p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A9"/>
    <w:rsid w:val="000F4440"/>
    <w:rsid w:val="00133A03"/>
    <w:rsid w:val="00147E18"/>
    <w:rsid w:val="001A1829"/>
    <w:rsid w:val="002D11A9"/>
    <w:rsid w:val="002E7BED"/>
    <w:rsid w:val="003806A9"/>
    <w:rsid w:val="004433B2"/>
    <w:rsid w:val="009B138D"/>
    <w:rsid w:val="00AB271C"/>
    <w:rsid w:val="00D02922"/>
    <w:rsid w:val="00D118BD"/>
    <w:rsid w:val="00F025D9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2091-40B5-4501-A26A-5FE4E9F1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806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806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11A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1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10</cp:revision>
  <cp:lastPrinted>2021-11-11T12:55:00Z</cp:lastPrinted>
  <dcterms:created xsi:type="dcterms:W3CDTF">2020-11-27T12:36:00Z</dcterms:created>
  <dcterms:modified xsi:type="dcterms:W3CDTF">2021-12-15T14:07:00Z</dcterms:modified>
</cp:coreProperties>
</file>