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930BA" w14:paraId="5CBB3AF4" w14:textId="77777777">
        <w:trPr>
          <w:tblCellSpacing w:w="60" w:type="dxa"/>
        </w:trPr>
        <w:tc>
          <w:tcPr>
            <w:tcW w:w="1200" w:type="pct"/>
            <w:shd w:val="clear" w:color="auto" w:fill="E7F0F9"/>
          </w:tcPr>
          <w:p w14:paraId="3C0923B3" w14:textId="77777777" w:rsidR="00B930BA" w:rsidRDefault="00000000">
            <w:pPr>
              <w:spacing w:after="0" w:line="240" w:lineRule="auto"/>
            </w:pPr>
            <w:r>
              <w:rPr>
                <w:b/>
              </w:rPr>
              <w:t>RKP broj</w:t>
            </w:r>
          </w:p>
        </w:tc>
        <w:tc>
          <w:tcPr>
            <w:tcW w:w="0" w:type="auto"/>
            <w:shd w:val="clear" w:color="auto" w:fill="E7F0F9"/>
          </w:tcPr>
          <w:p w14:paraId="45AB6E82" w14:textId="77777777" w:rsidR="00B930BA" w:rsidRDefault="00000000">
            <w:pPr>
              <w:spacing w:after="0" w:line="240" w:lineRule="auto"/>
            </w:pPr>
            <w:r>
              <w:t>31544</w:t>
            </w:r>
          </w:p>
        </w:tc>
      </w:tr>
      <w:tr w:rsidR="00B930BA" w14:paraId="5E669F56" w14:textId="77777777">
        <w:trPr>
          <w:tblCellSpacing w:w="60" w:type="dxa"/>
        </w:trPr>
        <w:tc>
          <w:tcPr>
            <w:tcW w:w="1200" w:type="pct"/>
            <w:shd w:val="clear" w:color="auto" w:fill="E7F0F9"/>
          </w:tcPr>
          <w:p w14:paraId="15D198A8" w14:textId="77777777" w:rsidR="00B930BA" w:rsidRDefault="00000000">
            <w:pPr>
              <w:spacing w:after="0" w:line="240" w:lineRule="auto"/>
            </w:pPr>
            <w:r>
              <w:rPr>
                <w:b/>
              </w:rPr>
              <w:t>Naziv obveznika</w:t>
            </w:r>
          </w:p>
        </w:tc>
        <w:tc>
          <w:tcPr>
            <w:tcW w:w="0" w:type="auto"/>
            <w:shd w:val="clear" w:color="auto" w:fill="E7F0F9"/>
          </w:tcPr>
          <w:p w14:paraId="24DA1BBB" w14:textId="77777777" w:rsidR="00B930BA" w:rsidRDefault="00000000">
            <w:pPr>
              <w:spacing w:after="0" w:line="240" w:lineRule="auto"/>
            </w:pPr>
            <w:r>
              <w:t>GRAD LEPOGLAVA</w:t>
            </w:r>
          </w:p>
        </w:tc>
      </w:tr>
      <w:tr w:rsidR="00B930BA" w14:paraId="1482CBB3" w14:textId="77777777">
        <w:trPr>
          <w:tblCellSpacing w:w="60" w:type="dxa"/>
        </w:trPr>
        <w:tc>
          <w:tcPr>
            <w:tcW w:w="1200" w:type="pct"/>
            <w:shd w:val="clear" w:color="auto" w:fill="E7F0F9"/>
          </w:tcPr>
          <w:p w14:paraId="21FB8E3F" w14:textId="77777777" w:rsidR="00B930BA" w:rsidRDefault="00000000">
            <w:pPr>
              <w:spacing w:after="0" w:line="240" w:lineRule="auto"/>
            </w:pPr>
            <w:r>
              <w:rPr>
                <w:b/>
              </w:rPr>
              <w:t>Razina</w:t>
            </w:r>
          </w:p>
        </w:tc>
        <w:tc>
          <w:tcPr>
            <w:tcW w:w="0" w:type="auto"/>
            <w:shd w:val="clear" w:color="auto" w:fill="E7F0F9"/>
          </w:tcPr>
          <w:p w14:paraId="4A8CBEDC" w14:textId="77777777" w:rsidR="00B930BA" w:rsidRDefault="00000000">
            <w:pPr>
              <w:spacing w:after="0" w:line="240" w:lineRule="auto"/>
            </w:pPr>
            <w:r>
              <w:t>22</w:t>
            </w:r>
          </w:p>
        </w:tc>
      </w:tr>
    </w:tbl>
    <w:p w14:paraId="78CD5A54" w14:textId="77777777" w:rsidR="00B930BA" w:rsidRDefault="00000000">
      <w:r>
        <w:br/>
      </w:r>
    </w:p>
    <w:p w14:paraId="790F5394" w14:textId="77777777" w:rsidR="00B930BA" w:rsidRDefault="00000000">
      <w:pPr>
        <w:spacing w:line="240" w:lineRule="auto"/>
        <w:jc w:val="center"/>
      </w:pPr>
      <w:r>
        <w:rPr>
          <w:b/>
          <w:sz w:val="28"/>
        </w:rPr>
        <w:t>BILJEŠKE UZ FINANCIJSKE IZVJEŠTAJE</w:t>
      </w:r>
    </w:p>
    <w:p w14:paraId="5C0659C3" w14:textId="77777777" w:rsidR="00B930BA" w:rsidRDefault="00000000">
      <w:pPr>
        <w:spacing w:line="240" w:lineRule="auto"/>
        <w:jc w:val="center"/>
      </w:pPr>
      <w:r>
        <w:rPr>
          <w:b/>
          <w:sz w:val="28"/>
        </w:rPr>
        <w:t>ZA RAZDOBLJE</w:t>
      </w:r>
    </w:p>
    <w:p w14:paraId="7AAE778F" w14:textId="77777777" w:rsidR="00B930BA" w:rsidRDefault="00000000">
      <w:pPr>
        <w:spacing w:line="240" w:lineRule="auto"/>
        <w:jc w:val="center"/>
      </w:pPr>
      <w:r>
        <w:rPr>
          <w:b/>
          <w:sz w:val="28"/>
        </w:rPr>
        <w:t>I - XII 2025.</w:t>
      </w:r>
    </w:p>
    <w:p w14:paraId="122DB478" w14:textId="77777777" w:rsidR="00B930BA" w:rsidRDefault="00B930BA"/>
    <w:p w14:paraId="7E711B75" w14:textId="77777777" w:rsidR="00B930BA" w:rsidRDefault="00000000">
      <w:pPr>
        <w:keepNext/>
        <w:spacing w:line="240" w:lineRule="auto"/>
        <w:jc w:val="center"/>
      </w:pPr>
      <w:r>
        <w:rPr>
          <w:b/>
          <w:sz w:val="28"/>
        </w:rPr>
        <w:t>Izvještaj o prihodima i rashodima, primicima i izdacima</w:t>
      </w:r>
    </w:p>
    <w:p w14:paraId="54375CBA" w14:textId="77777777" w:rsidR="00B930BA"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690AB26" w14:textId="77777777">
        <w:trPr>
          <w:cantSplit/>
        </w:trPr>
        <w:tc>
          <w:tcPr>
            <w:tcW w:w="700" w:type="dxa"/>
            <w:shd w:val="clear" w:color="auto" w:fill="E7F0F9"/>
            <w:tcMar>
              <w:top w:w="0" w:type="dxa"/>
              <w:bottom w:w="0" w:type="dxa"/>
            </w:tcMar>
            <w:vAlign w:val="center"/>
          </w:tcPr>
          <w:p w14:paraId="6AED23E9"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878168"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7C2BA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A37A57"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9918D2"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5A197C" w14:textId="77777777" w:rsidR="00B930BA" w:rsidRDefault="00000000">
            <w:pPr>
              <w:keepNext/>
              <w:keepLines/>
              <w:spacing w:after="0" w:line="240" w:lineRule="auto"/>
              <w:jc w:val="center"/>
            </w:pPr>
            <w:r>
              <w:rPr>
                <w:b/>
                <w:sz w:val="18"/>
              </w:rPr>
              <w:t>Indeks (%)</w:t>
            </w:r>
          </w:p>
        </w:tc>
      </w:tr>
      <w:tr w:rsidR="00B930BA" w14:paraId="7828BFE2" w14:textId="77777777">
        <w:trPr>
          <w:cantSplit/>
          <w:trHeight w:val="560"/>
        </w:trPr>
        <w:tc>
          <w:tcPr>
            <w:tcW w:w="700" w:type="dxa"/>
            <w:tcMar>
              <w:top w:w="0" w:type="dxa"/>
              <w:bottom w:w="0" w:type="dxa"/>
            </w:tcMar>
            <w:vAlign w:val="center"/>
          </w:tcPr>
          <w:p w14:paraId="0702A973" w14:textId="77777777" w:rsidR="00B930BA" w:rsidRDefault="00000000">
            <w:pPr>
              <w:keepNext/>
              <w:keepLines/>
              <w:spacing w:after="0" w:line="240" w:lineRule="auto"/>
            </w:pPr>
            <w:r>
              <w:rPr>
                <w:sz w:val="18"/>
              </w:rPr>
              <w:t>6</w:t>
            </w:r>
          </w:p>
        </w:tc>
        <w:tc>
          <w:tcPr>
            <w:tcW w:w="3180" w:type="dxa"/>
            <w:tcMar>
              <w:top w:w="0" w:type="dxa"/>
              <w:bottom w:w="0" w:type="dxa"/>
            </w:tcMar>
            <w:vAlign w:val="center"/>
          </w:tcPr>
          <w:p w14:paraId="0C2B4FB0" w14:textId="77777777" w:rsidR="00B930B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49CBB2C" w14:textId="77777777" w:rsidR="00B930BA" w:rsidRDefault="00000000">
            <w:pPr>
              <w:keepNext/>
              <w:keepLines/>
              <w:spacing w:after="0" w:line="240" w:lineRule="auto"/>
            </w:pPr>
            <w:r>
              <w:rPr>
                <w:sz w:val="18"/>
              </w:rPr>
              <w:t>6</w:t>
            </w:r>
          </w:p>
        </w:tc>
        <w:tc>
          <w:tcPr>
            <w:tcW w:w="1860" w:type="dxa"/>
            <w:tcMar>
              <w:top w:w="0" w:type="dxa"/>
              <w:bottom w:w="0" w:type="dxa"/>
            </w:tcMar>
            <w:vAlign w:val="center"/>
          </w:tcPr>
          <w:p w14:paraId="3BC57594" w14:textId="77777777" w:rsidR="00B930BA" w:rsidRDefault="00000000">
            <w:pPr>
              <w:keepNext/>
              <w:keepLines/>
              <w:spacing w:after="0" w:line="240" w:lineRule="auto"/>
              <w:jc w:val="right"/>
            </w:pPr>
            <w:r>
              <w:rPr>
                <w:sz w:val="18"/>
              </w:rPr>
              <w:t>5.323.889,59</w:t>
            </w:r>
          </w:p>
        </w:tc>
        <w:tc>
          <w:tcPr>
            <w:tcW w:w="1860" w:type="dxa"/>
            <w:tcMar>
              <w:top w:w="0" w:type="dxa"/>
              <w:bottom w:w="0" w:type="dxa"/>
            </w:tcMar>
            <w:vAlign w:val="center"/>
          </w:tcPr>
          <w:p w14:paraId="213C8C81" w14:textId="77777777" w:rsidR="00B930BA" w:rsidRDefault="00000000">
            <w:pPr>
              <w:keepNext/>
              <w:keepLines/>
              <w:spacing w:after="0" w:line="240" w:lineRule="auto"/>
              <w:jc w:val="right"/>
            </w:pPr>
            <w:r>
              <w:rPr>
                <w:sz w:val="18"/>
              </w:rPr>
              <w:t>5.551.586,57</w:t>
            </w:r>
          </w:p>
        </w:tc>
        <w:tc>
          <w:tcPr>
            <w:tcW w:w="700" w:type="dxa"/>
            <w:tcMar>
              <w:top w:w="0" w:type="dxa"/>
              <w:bottom w:w="0" w:type="dxa"/>
            </w:tcMar>
            <w:vAlign w:val="center"/>
          </w:tcPr>
          <w:p w14:paraId="2AE6ED42" w14:textId="77777777" w:rsidR="00B930BA" w:rsidRDefault="00000000">
            <w:pPr>
              <w:keepNext/>
              <w:keepLines/>
              <w:spacing w:after="0" w:line="240" w:lineRule="auto"/>
              <w:jc w:val="right"/>
            </w:pPr>
            <w:r>
              <w:rPr>
                <w:sz w:val="18"/>
              </w:rPr>
              <w:t>104,3</w:t>
            </w:r>
          </w:p>
        </w:tc>
      </w:tr>
      <w:tr w:rsidR="00B930BA" w14:paraId="669E02F8" w14:textId="77777777">
        <w:trPr>
          <w:cantSplit/>
          <w:trHeight w:val="560"/>
        </w:trPr>
        <w:tc>
          <w:tcPr>
            <w:tcW w:w="700" w:type="dxa"/>
            <w:tcMar>
              <w:top w:w="0" w:type="dxa"/>
              <w:bottom w:w="0" w:type="dxa"/>
            </w:tcMar>
            <w:vAlign w:val="center"/>
          </w:tcPr>
          <w:p w14:paraId="4E56492C" w14:textId="77777777" w:rsidR="00B930BA" w:rsidRDefault="00000000">
            <w:pPr>
              <w:keepNext/>
              <w:keepLines/>
              <w:spacing w:after="0" w:line="240" w:lineRule="auto"/>
            </w:pPr>
            <w:r>
              <w:rPr>
                <w:sz w:val="18"/>
              </w:rPr>
              <w:t>3</w:t>
            </w:r>
          </w:p>
        </w:tc>
        <w:tc>
          <w:tcPr>
            <w:tcW w:w="3180" w:type="dxa"/>
            <w:tcMar>
              <w:top w:w="0" w:type="dxa"/>
              <w:bottom w:w="0" w:type="dxa"/>
            </w:tcMar>
            <w:vAlign w:val="center"/>
          </w:tcPr>
          <w:p w14:paraId="5F41F16D" w14:textId="77777777" w:rsidR="00B930B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FD7D7A2" w14:textId="77777777" w:rsidR="00B930BA" w:rsidRDefault="00000000">
            <w:pPr>
              <w:keepNext/>
              <w:keepLines/>
              <w:spacing w:after="0" w:line="240" w:lineRule="auto"/>
            </w:pPr>
            <w:r>
              <w:rPr>
                <w:sz w:val="18"/>
              </w:rPr>
              <w:t>3</w:t>
            </w:r>
          </w:p>
        </w:tc>
        <w:tc>
          <w:tcPr>
            <w:tcW w:w="1860" w:type="dxa"/>
            <w:tcMar>
              <w:top w:w="0" w:type="dxa"/>
              <w:bottom w:w="0" w:type="dxa"/>
            </w:tcMar>
            <w:vAlign w:val="center"/>
          </w:tcPr>
          <w:p w14:paraId="1678576B" w14:textId="77777777" w:rsidR="00B930BA" w:rsidRDefault="00000000">
            <w:pPr>
              <w:keepNext/>
              <w:keepLines/>
              <w:spacing w:after="0" w:line="240" w:lineRule="auto"/>
              <w:jc w:val="right"/>
            </w:pPr>
            <w:r>
              <w:rPr>
                <w:sz w:val="18"/>
              </w:rPr>
              <w:t>4.231.862,28</w:t>
            </w:r>
          </w:p>
        </w:tc>
        <w:tc>
          <w:tcPr>
            <w:tcW w:w="1860" w:type="dxa"/>
            <w:tcMar>
              <w:top w:w="0" w:type="dxa"/>
              <w:bottom w:w="0" w:type="dxa"/>
            </w:tcMar>
            <w:vAlign w:val="center"/>
          </w:tcPr>
          <w:p w14:paraId="21BE5733" w14:textId="77777777" w:rsidR="00B930BA" w:rsidRDefault="00000000">
            <w:pPr>
              <w:keepNext/>
              <w:keepLines/>
              <w:spacing w:after="0" w:line="240" w:lineRule="auto"/>
              <w:jc w:val="right"/>
            </w:pPr>
            <w:r>
              <w:rPr>
                <w:sz w:val="18"/>
              </w:rPr>
              <w:t>4.767.848,28</w:t>
            </w:r>
          </w:p>
        </w:tc>
        <w:tc>
          <w:tcPr>
            <w:tcW w:w="700" w:type="dxa"/>
            <w:tcMar>
              <w:top w:w="0" w:type="dxa"/>
              <w:bottom w:w="0" w:type="dxa"/>
            </w:tcMar>
            <w:vAlign w:val="center"/>
          </w:tcPr>
          <w:p w14:paraId="1E240344" w14:textId="77777777" w:rsidR="00B930BA" w:rsidRDefault="00000000">
            <w:pPr>
              <w:keepNext/>
              <w:keepLines/>
              <w:spacing w:after="0" w:line="240" w:lineRule="auto"/>
              <w:jc w:val="right"/>
            </w:pPr>
            <w:r>
              <w:rPr>
                <w:sz w:val="18"/>
              </w:rPr>
              <w:t>112,7</w:t>
            </w:r>
          </w:p>
        </w:tc>
      </w:tr>
      <w:tr w:rsidR="00B930BA" w14:paraId="78CCF9EC" w14:textId="77777777">
        <w:trPr>
          <w:cantSplit/>
          <w:trHeight w:val="560"/>
        </w:trPr>
        <w:tc>
          <w:tcPr>
            <w:tcW w:w="700" w:type="dxa"/>
            <w:tcMar>
              <w:top w:w="0" w:type="dxa"/>
              <w:bottom w:w="0" w:type="dxa"/>
            </w:tcMar>
            <w:vAlign w:val="center"/>
          </w:tcPr>
          <w:p w14:paraId="56E4D7EF" w14:textId="77777777" w:rsidR="00B930BA" w:rsidRDefault="00B930BA">
            <w:pPr>
              <w:keepNext/>
              <w:keepLines/>
              <w:spacing w:after="0" w:line="240" w:lineRule="auto"/>
            </w:pPr>
          </w:p>
        </w:tc>
        <w:tc>
          <w:tcPr>
            <w:tcW w:w="3180" w:type="dxa"/>
            <w:tcMar>
              <w:top w:w="0" w:type="dxa"/>
              <w:bottom w:w="0" w:type="dxa"/>
            </w:tcMar>
            <w:vAlign w:val="center"/>
          </w:tcPr>
          <w:p w14:paraId="243CBE9F" w14:textId="77777777" w:rsidR="00B930BA"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969A896" w14:textId="77777777" w:rsidR="00B930BA" w:rsidRDefault="00000000">
            <w:pPr>
              <w:keepNext/>
              <w:keepLines/>
              <w:spacing w:after="0" w:line="240" w:lineRule="auto"/>
            </w:pPr>
            <w:r>
              <w:rPr>
                <w:b/>
                <w:sz w:val="18"/>
              </w:rPr>
              <w:t>X001</w:t>
            </w:r>
          </w:p>
        </w:tc>
        <w:tc>
          <w:tcPr>
            <w:tcW w:w="1860" w:type="dxa"/>
            <w:tcMar>
              <w:top w:w="0" w:type="dxa"/>
              <w:bottom w:w="0" w:type="dxa"/>
            </w:tcMar>
            <w:vAlign w:val="center"/>
          </w:tcPr>
          <w:p w14:paraId="75755FA0" w14:textId="77777777" w:rsidR="00B930BA" w:rsidRDefault="00000000">
            <w:pPr>
              <w:keepNext/>
              <w:keepLines/>
              <w:spacing w:after="0" w:line="240" w:lineRule="auto"/>
              <w:jc w:val="right"/>
            </w:pPr>
            <w:r>
              <w:rPr>
                <w:b/>
                <w:sz w:val="18"/>
              </w:rPr>
              <w:t>1.092.027,31</w:t>
            </w:r>
          </w:p>
        </w:tc>
        <w:tc>
          <w:tcPr>
            <w:tcW w:w="1860" w:type="dxa"/>
            <w:tcMar>
              <w:top w:w="0" w:type="dxa"/>
              <w:bottom w:w="0" w:type="dxa"/>
            </w:tcMar>
            <w:vAlign w:val="center"/>
          </w:tcPr>
          <w:p w14:paraId="32E274DD" w14:textId="77777777" w:rsidR="00B930BA" w:rsidRDefault="00000000">
            <w:pPr>
              <w:keepNext/>
              <w:keepLines/>
              <w:spacing w:after="0" w:line="240" w:lineRule="auto"/>
              <w:jc w:val="right"/>
            </w:pPr>
            <w:r>
              <w:rPr>
                <w:b/>
                <w:sz w:val="18"/>
              </w:rPr>
              <w:t>783.738,29</w:t>
            </w:r>
          </w:p>
        </w:tc>
        <w:tc>
          <w:tcPr>
            <w:tcW w:w="700" w:type="dxa"/>
            <w:tcMar>
              <w:top w:w="0" w:type="dxa"/>
              <w:bottom w:w="0" w:type="dxa"/>
            </w:tcMar>
            <w:vAlign w:val="center"/>
          </w:tcPr>
          <w:p w14:paraId="34A9FFF4" w14:textId="77777777" w:rsidR="00B930BA" w:rsidRDefault="00000000">
            <w:pPr>
              <w:keepNext/>
              <w:keepLines/>
              <w:spacing w:after="0" w:line="240" w:lineRule="auto"/>
              <w:jc w:val="right"/>
            </w:pPr>
            <w:r>
              <w:rPr>
                <w:b/>
                <w:sz w:val="18"/>
              </w:rPr>
              <w:t>71,8</w:t>
            </w:r>
          </w:p>
        </w:tc>
      </w:tr>
      <w:tr w:rsidR="00B930BA" w14:paraId="3BD63379" w14:textId="77777777">
        <w:trPr>
          <w:cantSplit/>
          <w:trHeight w:val="560"/>
        </w:trPr>
        <w:tc>
          <w:tcPr>
            <w:tcW w:w="700" w:type="dxa"/>
            <w:tcMar>
              <w:top w:w="0" w:type="dxa"/>
              <w:bottom w:w="0" w:type="dxa"/>
            </w:tcMar>
            <w:vAlign w:val="center"/>
          </w:tcPr>
          <w:p w14:paraId="6A9CBB1B" w14:textId="77777777" w:rsidR="00B930BA" w:rsidRDefault="00000000">
            <w:pPr>
              <w:keepNext/>
              <w:keepLines/>
              <w:spacing w:after="0" w:line="240" w:lineRule="auto"/>
            </w:pPr>
            <w:r>
              <w:rPr>
                <w:sz w:val="18"/>
              </w:rPr>
              <w:t>7</w:t>
            </w:r>
          </w:p>
        </w:tc>
        <w:tc>
          <w:tcPr>
            <w:tcW w:w="3180" w:type="dxa"/>
            <w:tcMar>
              <w:top w:w="0" w:type="dxa"/>
              <w:bottom w:w="0" w:type="dxa"/>
            </w:tcMar>
            <w:vAlign w:val="center"/>
          </w:tcPr>
          <w:p w14:paraId="19C2FC10" w14:textId="77777777" w:rsidR="00B930B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684CB1F3" w14:textId="77777777" w:rsidR="00B930BA" w:rsidRDefault="00000000">
            <w:pPr>
              <w:keepNext/>
              <w:keepLines/>
              <w:spacing w:after="0" w:line="240" w:lineRule="auto"/>
            </w:pPr>
            <w:r>
              <w:rPr>
                <w:sz w:val="18"/>
              </w:rPr>
              <w:t>7</w:t>
            </w:r>
          </w:p>
        </w:tc>
        <w:tc>
          <w:tcPr>
            <w:tcW w:w="1860" w:type="dxa"/>
            <w:tcMar>
              <w:top w:w="0" w:type="dxa"/>
              <w:bottom w:w="0" w:type="dxa"/>
            </w:tcMar>
            <w:vAlign w:val="center"/>
          </w:tcPr>
          <w:p w14:paraId="6153A3B2" w14:textId="77777777" w:rsidR="00B930BA" w:rsidRDefault="00000000">
            <w:pPr>
              <w:keepNext/>
              <w:keepLines/>
              <w:spacing w:after="0" w:line="240" w:lineRule="auto"/>
              <w:jc w:val="right"/>
            </w:pPr>
            <w:r>
              <w:rPr>
                <w:sz w:val="18"/>
              </w:rPr>
              <w:t>380.360,85</w:t>
            </w:r>
          </w:p>
        </w:tc>
        <w:tc>
          <w:tcPr>
            <w:tcW w:w="1860" w:type="dxa"/>
            <w:tcMar>
              <w:top w:w="0" w:type="dxa"/>
              <w:bottom w:w="0" w:type="dxa"/>
            </w:tcMar>
            <w:vAlign w:val="center"/>
          </w:tcPr>
          <w:p w14:paraId="60BBDD7F" w14:textId="77777777" w:rsidR="00B930BA" w:rsidRDefault="00000000">
            <w:pPr>
              <w:keepNext/>
              <w:keepLines/>
              <w:spacing w:after="0" w:line="240" w:lineRule="auto"/>
              <w:jc w:val="right"/>
            </w:pPr>
            <w:r>
              <w:rPr>
                <w:sz w:val="18"/>
              </w:rPr>
              <w:t>183.093,54</w:t>
            </w:r>
          </w:p>
        </w:tc>
        <w:tc>
          <w:tcPr>
            <w:tcW w:w="700" w:type="dxa"/>
            <w:tcMar>
              <w:top w:w="0" w:type="dxa"/>
              <w:bottom w:w="0" w:type="dxa"/>
            </w:tcMar>
            <w:vAlign w:val="center"/>
          </w:tcPr>
          <w:p w14:paraId="222D3851" w14:textId="77777777" w:rsidR="00B930BA" w:rsidRDefault="00000000">
            <w:pPr>
              <w:keepNext/>
              <w:keepLines/>
              <w:spacing w:after="0" w:line="240" w:lineRule="auto"/>
              <w:jc w:val="right"/>
            </w:pPr>
            <w:r>
              <w:rPr>
                <w:sz w:val="18"/>
              </w:rPr>
              <w:t>48,1</w:t>
            </w:r>
          </w:p>
        </w:tc>
      </w:tr>
      <w:tr w:rsidR="00B930BA" w14:paraId="303783AA" w14:textId="77777777">
        <w:trPr>
          <w:cantSplit/>
          <w:trHeight w:val="560"/>
        </w:trPr>
        <w:tc>
          <w:tcPr>
            <w:tcW w:w="700" w:type="dxa"/>
            <w:tcMar>
              <w:top w:w="0" w:type="dxa"/>
              <w:bottom w:w="0" w:type="dxa"/>
            </w:tcMar>
            <w:vAlign w:val="center"/>
          </w:tcPr>
          <w:p w14:paraId="23817DB4" w14:textId="77777777" w:rsidR="00B930BA" w:rsidRDefault="00000000">
            <w:pPr>
              <w:keepNext/>
              <w:keepLines/>
              <w:spacing w:after="0" w:line="240" w:lineRule="auto"/>
            </w:pPr>
            <w:r>
              <w:rPr>
                <w:sz w:val="18"/>
              </w:rPr>
              <w:t>4</w:t>
            </w:r>
          </w:p>
        </w:tc>
        <w:tc>
          <w:tcPr>
            <w:tcW w:w="3180" w:type="dxa"/>
            <w:tcMar>
              <w:top w:w="0" w:type="dxa"/>
              <w:bottom w:w="0" w:type="dxa"/>
            </w:tcMar>
            <w:vAlign w:val="center"/>
          </w:tcPr>
          <w:p w14:paraId="39C02693" w14:textId="77777777" w:rsidR="00B930B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B94BA7C" w14:textId="77777777" w:rsidR="00B930BA" w:rsidRDefault="00000000">
            <w:pPr>
              <w:keepNext/>
              <w:keepLines/>
              <w:spacing w:after="0" w:line="240" w:lineRule="auto"/>
            </w:pPr>
            <w:r>
              <w:rPr>
                <w:sz w:val="18"/>
              </w:rPr>
              <w:t>4</w:t>
            </w:r>
          </w:p>
        </w:tc>
        <w:tc>
          <w:tcPr>
            <w:tcW w:w="1860" w:type="dxa"/>
            <w:tcMar>
              <w:top w:w="0" w:type="dxa"/>
              <w:bottom w:w="0" w:type="dxa"/>
            </w:tcMar>
            <w:vAlign w:val="center"/>
          </w:tcPr>
          <w:p w14:paraId="33C2DBCC" w14:textId="77777777" w:rsidR="00B930BA" w:rsidRDefault="00000000">
            <w:pPr>
              <w:keepNext/>
              <w:keepLines/>
              <w:spacing w:after="0" w:line="240" w:lineRule="auto"/>
              <w:jc w:val="right"/>
            </w:pPr>
            <w:r>
              <w:rPr>
                <w:sz w:val="18"/>
              </w:rPr>
              <w:t>485.179,46</w:t>
            </w:r>
          </w:p>
        </w:tc>
        <w:tc>
          <w:tcPr>
            <w:tcW w:w="1860" w:type="dxa"/>
            <w:tcMar>
              <w:top w:w="0" w:type="dxa"/>
              <w:bottom w:w="0" w:type="dxa"/>
            </w:tcMar>
            <w:vAlign w:val="center"/>
          </w:tcPr>
          <w:p w14:paraId="5576F627" w14:textId="77777777" w:rsidR="00B930BA" w:rsidRDefault="00000000">
            <w:pPr>
              <w:keepNext/>
              <w:keepLines/>
              <w:spacing w:after="0" w:line="240" w:lineRule="auto"/>
              <w:jc w:val="right"/>
            </w:pPr>
            <w:r>
              <w:rPr>
                <w:sz w:val="18"/>
              </w:rPr>
              <w:t>807.159,47</w:t>
            </w:r>
          </w:p>
        </w:tc>
        <w:tc>
          <w:tcPr>
            <w:tcW w:w="700" w:type="dxa"/>
            <w:tcMar>
              <w:top w:w="0" w:type="dxa"/>
              <w:bottom w:w="0" w:type="dxa"/>
            </w:tcMar>
            <w:vAlign w:val="center"/>
          </w:tcPr>
          <w:p w14:paraId="4FCE163A" w14:textId="77777777" w:rsidR="00B930BA" w:rsidRDefault="00000000">
            <w:pPr>
              <w:keepNext/>
              <w:keepLines/>
              <w:spacing w:after="0" w:line="240" w:lineRule="auto"/>
              <w:jc w:val="right"/>
            </w:pPr>
            <w:r>
              <w:rPr>
                <w:sz w:val="18"/>
              </w:rPr>
              <w:t>166,4</w:t>
            </w:r>
          </w:p>
        </w:tc>
      </w:tr>
      <w:tr w:rsidR="00B930BA" w14:paraId="30F506E7" w14:textId="77777777">
        <w:trPr>
          <w:cantSplit/>
          <w:trHeight w:val="560"/>
        </w:trPr>
        <w:tc>
          <w:tcPr>
            <w:tcW w:w="700" w:type="dxa"/>
            <w:tcMar>
              <w:top w:w="0" w:type="dxa"/>
              <w:bottom w:w="0" w:type="dxa"/>
            </w:tcMar>
            <w:vAlign w:val="center"/>
          </w:tcPr>
          <w:p w14:paraId="5CC2ED5E" w14:textId="77777777" w:rsidR="00B930BA" w:rsidRDefault="00B930BA">
            <w:pPr>
              <w:keepNext/>
              <w:keepLines/>
              <w:spacing w:after="0" w:line="240" w:lineRule="auto"/>
            </w:pPr>
          </w:p>
        </w:tc>
        <w:tc>
          <w:tcPr>
            <w:tcW w:w="3180" w:type="dxa"/>
            <w:tcMar>
              <w:top w:w="0" w:type="dxa"/>
              <w:bottom w:w="0" w:type="dxa"/>
            </w:tcMar>
            <w:vAlign w:val="center"/>
          </w:tcPr>
          <w:p w14:paraId="3D191C78" w14:textId="77777777" w:rsidR="00B930BA"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76601F6" w14:textId="77777777" w:rsidR="00B930BA" w:rsidRDefault="00000000">
            <w:pPr>
              <w:keepNext/>
              <w:keepLines/>
              <w:spacing w:after="0" w:line="240" w:lineRule="auto"/>
            </w:pPr>
            <w:r>
              <w:rPr>
                <w:b/>
                <w:sz w:val="18"/>
              </w:rPr>
              <w:t>Y002</w:t>
            </w:r>
          </w:p>
        </w:tc>
        <w:tc>
          <w:tcPr>
            <w:tcW w:w="1860" w:type="dxa"/>
            <w:tcMar>
              <w:top w:w="0" w:type="dxa"/>
              <w:bottom w:w="0" w:type="dxa"/>
            </w:tcMar>
            <w:vAlign w:val="center"/>
          </w:tcPr>
          <w:p w14:paraId="6F65F017" w14:textId="77777777" w:rsidR="00B930BA" w:rsidRDefault="00000000">
            <w:pPr>
              <w:keepNext/>
              <w:keepLines/>
              <w:spacing w:after="0" w:line="240" w:lineRule="auto"/>
              <w:jc w:val="right"/>
            </w:pPr>
            <w:r>
              <w:rPr>
                <w:b/>
                <w:sz w:val="18"/>
              </w:rPr>
              <w:t>104.818,61</w:t>
            </w:r>
          </w:p>
        </w:tc>
        <w:tc>
          <w:tcPr>
            <w:tcW w:w="1860" w:type="dxa"/>
            <w:tcMar>
              <w:top w:w="0" w:type="dxa"/>
              <w:bottom w:w="0" w:type="dxa"/>
            </w:tcMar>
            <w:vAlign w:val="center"/>
          </w:tcPr>
          <w:p w14:paraId="34B88543" w14:textId="77777777" w:rsidR="00B930BA" w:rsidRDefault="00000000">
            <w:pPr>
              <w:keepNext/>
              <w:keepLines/>
              <w:spacing w:after="0" w:line="240" w:lineRule="auto"/>
              <w:jc w:val="right"/>
            </w:pPr>
            <w:r>
              <w:rPr>
                <w:b/>
                <w:sz w:val="18"/>
              </w:rPr>
              <w:t>624.065,93</w:t>
            </w:r>
          </w:p>
        </w:tc>
        <w:tc>
          <w:tcPr>
            <w:tcW w:w="700" w:type="dxa"/>
            <w:tcMar>
              <w:top w:w="0" w:type="dxa"/>
              <w:bottom w:w="0" w:type="dxa"/>
            </w:tcMar>
            <w:vAlign w:val="center"/>
          </w:tcPr>
          <w:p w14:paraId="25DD2C30" w14:textId="77777777" w:rsidR="00B930BA" w:rsidRDefault="00000000">
            <w:pPr>
              <w:keepNext/>
              <w:keepLines/>
              <w:spacing w:after="0" w:line="240" w:lineRule="auto"/>
              <w:jc w:val="right"/>
            </w:pPr>
            <w:r>
              <w:rPr>
                <w:b/>
                <w:sz w:val="18"/>
              </w:rPr>
              <w:t>595,4</w:t>
            </w:r>
          </w:p>
        </w:tc>
      </w:tr>
      <w:tr w:rsidR="00B930BA" w14:paraId="63072265" w14:textId="77777777">
        <w:trPr>
          <w:cantSplit/>
          <w:trHeight w:val="560"/>
        </w:trPr>
        <w:tc>
          <w:tcPr>
            <w:tcW w:w="700" w:type="dxa"/>
            <w:tcMar>
              <w:top w:w="0" w:type="dxa"/>
              <w:bottom w:w="0" w:type="dxa"/>
            </w:tcMar>
            <w:vAlign w:val="center"/>
          </w:tcPr>
          <w:p w14:paraId="4316A11D" w14:textId="77777777" w:rsidR="00B930BA" w:rsidRDefault="00000000">
            <w:pPr>
              <w:keepNext/>
              <w:keepLines/>
              <w:spacing w:after="0" w:line="240" w:lineRule="auto"/>
            </w:pPr>
            <w:r>
              <w:rPr>
                <w:sz w:val="18"/>
              </w:rPr>
              <w:t>8</w:t>
            </w:r>
          </w:p>
        </w:tc>
        <w:tc>
          <w:tcPr>
            <w:tcW w:w="3180" w:type="dxa"/>
            <w:tcMar>
              <w:top w:w="0" w:type="dxa"/>
              <w:bottom w:w="0" w:type="dxa"/>
            </w:tcMar>
            <w:vAlign w:val="center"/>
          </w:tcPr>
          <w:p w14:paraId="562F9D2A" w14:textId="77777777" w:rsidR="00B930BA"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BAD46F8" w14:textId="77777777" w:rsidR="00B930BA" w:rsidRDefault="00000000">
            <w:pPr>
              <w:keepNext/>
              <w:keepLines/>
              <w:spacing w:after="0" w:line="240" w:lineRule="auto"/>
            </w:pPr>
            <w:r>
              <w:rPr>
                <w:sz w:val="18"/>
              </w:rPr>
              <w:t>8</w:t>
            </w:r>
          </w:p>
        </w:tc>
        <w:tc>
          <w:tcPr>
            <w:tcW w:w="1860" w:type="dxa"/>
            <w:tcMar>
              <w:top w:w="0" w:type="dxa"/>
              <w:bottom w:w="0" w:type="dxa"/>
            </w:tcMar>
            <w:vAlign w:val="center"/>
          </w:tcPr>
          <w:p w14:paraId="41889BD1" w14:textId="77777777" w:rsidR="00B930BA" w:rsidRDefault="00000000">
            <w:pPr>
              <w:keepNext/>
              <w:keepLines/>
              <w:spacing w:after="0" w:line="240" w:lineRule="auto"/>
              <w:jc w:val="right"/>
            </w:pPr>
            <w:r>
              <w:rPr>
                <w:sz w:val="18"/>
              </w:rPr>
              <w:t>0,00</w:t>
            </w:r>
          </w:p>
        </w:tc>
        <w:tc>
          <w:tcPr>
            <w:tcW w:w="1860" w:type="dxa"/>
            <w:tcMar>
              <w:top w:w="0" w:type="dxa"/>
              <w:bottom w:w="0" w:type="dxa"/>
            </w:tcMar>
            <w:vAlign w:val="center"/>
          </w:tcPr>
          <w:p w14:paraId="30CE875B" w14:textId="77777777" w:rsidR="00B930BA" w:rsidRDefault="00000000">
            <w:pPr>
              <w:keepNext/>
              <w:keepLines/>
              <w:spacing w:after="0" w:line="240" w:lineRule="auto"/>
              <w:jc w:val="right"/>
            </w:pPr>
            <w:r>
              <w:rPr>
                <w:sz w:val="18"/>
              </w:rPr>
              <w:t>0,00</w:t>
            </w:r>
          </w:p>
        </w:tc>
        <w:tc>
          <w:tcPr>
            <w:tcW w:w="700" w:type="dxa"/>
            <w:tcMar>
              <w:top w:w="0" w:type="dxa"/>
              <w:bottom w:w="0" w:type="dxa"/>
            </w:tcMar>
            <w:vAlign w:val="center"/>
          </w:tcPr>
          <w:p w14:paraId="7E2B6D25" w14:textId="77777777" w:rsidR="00B930BA" w:rsidRDefault="00000000">
            <w:pPr>
              <w:keepNext/>
              <w:keepLines/>
              <w:spacing w:after="0" w:line="240" w:lineRule="auto"/>
              <w:jc w:val="right"/>
            </w:pPr>
            <w:r>
              <w:rPr>
                <w:sz w:val="18"/>
              </w:rPr>
              <w:t>-</w:t>
            </w:r>
          </w:p>
        </w:tc>
      </w:tr>
      <w:tr w:rsidR="00B930BA" w14:paraId="5165E148" w14:textId="77777777">
        <w:trPr>
          <w:cantSplit/>
          <w:trHeight w:val="560"/>
        </w:trPr>
        <w:tc>
          <w:tcPr>
            <w:tcW w:w="700" w:type="dxa"/>
            <w:tcMar>
              <w:top w:w="0" w:type="dxa"/>
              <w:bottom w:w="0" w:type="dxa"/>
            </w:tcMar>
            <w:vAlign w:val="center"/>
          </w:tcPr>
          <w:p w14:paraId="23BF6392" w14:textId="77777777" w:rsidR="00B930BA" w:rsidRDefault="00000000">
            <w:pPr>
              <w:keepNext/>
              <w:keepLines/>
              <w:spacing w:after="0" w:line="240" w:lineRule="auto"/>
            </w:pPr>
            <w:r>
              <w:rPr>
                <w:sz w:val="18"/>
              </w:rPr>
              <w:t>5</w:t>
            </w:r>
          </w:p>
        </w:tc>
        <w:tc>
          <w:tcPr>
            <w:tcW w:w="3180" w:type="dxa"/>
            <w:tcMar>
              <w:top w:w="0" w:type="dxa"/>
              <w:bottom w:w="0" w:type="dxa"/>
            </w:tcMar>
            <w:vAlign w:val="center"/>
          </w:tcPr>
          <w:p w14:paraId="005B9A94" w14:textId="77777777" w:rsidR="00B930B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545DEA1" w14:textId="77777777" w:rsidR="00B930BA" w:rsidRDefault="00000000">
            <w:pPr>
              <w:keepNext/>
              <w:keepLines/>
              <w:spacing w:after="0" w:line="240" w:lineRule="auto"/>
            </w:pPr>
            <w:r>
              <w:rPr>
                <w:sz w:val="18"/>
              </w:rPr>
              <w:t>5</w:t>
            </w:r>
          </w:p>
        </w:tc>
        <w:tc>
          <w:tcPr>
            <w:tcW w:w="1860" w:type="dxa"/>
            <w:tcMar>
              <w:top w:w="0" w:type="dxa"/>
              <w:bottom w:w="0" w:type="dxa"/>
            </w:tcMar>
            <w:vAlign w:val="center"/>
          </w:tcPr>
          <w:p w14:paraId="747AAF89" w14:textId="77777777" w:rsidR="00B930BA" w:rsidRDefault="00000000">
            <w:pPr>
              <w:keepNext/>
              <w:keepLines/>
              <w:spacing w:after="0" w:line="240" w:lineRule="auto"/>
              <w:jc w:val="right"/>
            </w:pPr>
            <w:r>
              <w:rPr>
                <w:sz w:val="18"/>
              </w:rPr>
              <w:t>295.675,43</w:t>
            </w:r>
          </w:p>
        </w:tc>
        <w:tc>
          <w:tcPr>
            <w:tcW w:w="1860" w:type="dxa"/>
            <w:tcMar>
              <w:top w:w="0" w:type="dxa"/>
              <w:bottom w:w="0" w:type="dxa"/>
            </w:tcMar>
            <w:vAlign w:val="center"/>
          </w:tcPr>
          <w:p w14:paraId="21AD1C53" w14:textId="77777777" w:rsidR="00B930BA" w:rsidRDefault="00000000">
            <w:pPr>
              <w:keepNext/>
              <w:keepLines/>
              <w:spacing w:after="0" w:line="240" w:lineRule="auto"/>
              <w:jc w:val="right"/>
            </w:pPr>
            <w:r>
              <w:rPr>
                <w:sz w:val="18"/>
              </w:rPr>
              <w:t>201.896,64</w:t>
            </w:r>
          </w:p>
        </w:tc>
        <w:tc>
          <w:tcPr>
            <w:tcW w:w="700" w:type="dxa"/>
            <w:tcMar>
              <w:top w:w="0" w:type="dxa"/>
              <w:bottom w:w="0" w:type="dxa"/>
            </w:tcMar>
            <w:vAlign w:val="center"/>
          </w:tcPr>
          <w:p w14:paraId="092451E1" w14:textId="77777777" w:rsidR="00B930BA" w:rsidRDefault="00000000">
            <w:pPr>
              <w:keepNext/>
              <w:keepLines/>
              <w:spacing w:after="0" w:line="240" w:lineRule="auto"/>
              <w:jc w:val="right"/>
            </w:pPr>
            <w:r>
              <w:rPr>
                <w:sz w:val="18"/>
              </w:rPr>
              <w:t>68,3</w:t>
            </w:r>
          </w:p>
        </w:tc>
      </w:tr>
      <w:tr w:rsidR="00B930BA" w14:paraId="5D38EED0" w14:textId="77777777">
        <w:trPr>
          <w:cantSplit/>
          <w:trHeight w:val="560"/>
        </w:trPr>
        <w:tc>
          <w:tcPr>
            <w:tcW w:w="700" w:type="dxa"/>
            <w:tcMar>
              <w:top w:w="0" w:type="dxa"/>
              <w:bottom w:w="0" w:type="dxa"/>
            </w:tcMar>
            <w:vAlign w:val="center"/>
          </w:tcPr>
          <w:p w14:paraId="4C805801" w14:textId="77777777" w:rsidR="00B930BA" w:rsidRDefault="00B930BA">
            <w:pPr>
              <w:keepNext/>
              <w:keepLines/>
              <w:spacing w:after="0" w:line="240" w:lineRule="auto"/>
            </w:pPr>
          </w:p>
        </w:tc>
        <w:tc>
          <w:tcPr>
            <w:tcW w:w="3180" w:type="dxa"/>
            <w:tcMar>
              <w:top w:w="0" w:type="dxa"/>
              <w:bottom w:w="0" w:type="dxa"/>
            </w:tcMar>
            <w:vAlign w:val="center"/>
          </w:tcPr>
          <w:p w14:paraId="72BCF7D3" w14:textId="77777777" w:rsidR="00B930BA" w:rsidRDefault="00000000">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567C5535" w14:textId="77777777" w:rsidR="00B930BA" w:rsidRDefault="00000000">
            <w:pPr>
              <w:keepNext/>
              <w:keepLines/>
              <w:spacing w:after="0" w:line="240" w:lineRule="auto"/>
            </w:pPr>
            <w:r>
              <w:rPr>
                <w:b/>
                <w:sz w:val="18"/>
              </w:rPr>
              <w:t>Y003</w:t>
            </w:r>
          </w:p>
        </w:tc>
        <w:tc>
          <w:tcPr>
            <w:tcW w:w="1860" w:type="dxa"/>
            <w:tcMar>
              <w:top w:w="0" w:type="dxa"/>
              <w:bottom w:w="0" w:type="dxa"/>
            </w:tcMar>
            <w:vAlign w:val="center"/>
          </w:tcPr>
          <w:p w14:paraId="7ADDC052" w14:textId="77777777" w:rsidR="00B930BA" w:rsidRDefault="00000000">
            <w:pPr>
              <w:keepNext/>
              <w:keepLines/>
              <w:spacing w:after="0" w:line="240" w:lineRule="auto"/>
              <w:jc w:val="right"/>
            </w:pPr>
            <w:r>
              <w:rPr>
                <w:b/>
                <w:sz w:val="18"/>
              </w:rPr>
              <w:t>295.675,43</w:t>
            </w:r>
          </w:p>
        </w:tc>
        <w:tc>
          <w:tcPr>
            <w:tcW w:w="1860" w:type="dxa"/>
            <w:tcMar>
              <w:top w:w="0" w:type="dxa"/>
              <w:bottom w:w="0" w:type="dxa"/>
            </w:tcMar>
            <w:vAlign w:val="center"/>
          </w:tcPr>
          <w:p w14:paraId="28280379" w14:textId="77777777" w:rsidR="00B930BA" w:rsidRDefault="00000000">
            <w:pPr>
              <w:keepNext/>
              <w:keepLines/>
              <w:spacing w:after="0" w:line="240" w:lineRule="auto"/>
              <w:jc w:val="right"/>
            </w:pPr>
            <w:r>
              <w:rPr>
                <w:b/>
                <w:sz w:val="18"/>
              </w:rPr>
              <w:t>201.896,64</w:t>
            </w:r>
          </w:p>
        </w:tc>
        <w:tc>
          <w:tcPr>
            <w:tcW w:w="700" w:type="dxa"/>
            <w:tcMar>
              <w:top w:w="0" w:type="dxa"/>
              <w:bottom w:w="0" w:type="dxa"/>
            </w:tcMar>
            <w:vAlign w:val="center"/>
          </w:tcPr>
          <w:p w14:paraId="221A1233" w14:textId="77777777" w:rsidR="00B930BA" w:rsidRDefault="00000000">
            <w:pPr>
              <w:keepNext/>
              <w:keepLines/>
              <w:spacing w:after="0" w:line="240" w:lineRule="auto"/>
              <w:jc w:val="right"/>
            </w:pPr>
            <w:r>
              <w:rPr>
                <w:b/>
                <w:sz w:val="18"/>
              </w:rPr>
              <w:t>68,3</w:t>
            </w:r>
          </w:p>
        </w:tc>
      </w:tr>
      <w:tr w:rsidR="00B930BA" w14:paraId="5A518856" w14:textId="77777777">
        <w:trPr>
          <w:cantSplit/>
          <w:trHeight w:val="560"/>
        </w:trPr>
        <w:tc>
          <w:tcPr>
            <w:tcW w:w="700" w:type="dxa"/>
            <w:tcMar>
              <w:top w:w="0" w:type="dxa"/>
              <w:bottom w:w="0" w:type="dxa"/>
            </w:tcMar>
            <w:vAlign w:val="center"/>
          </w:tcPr>
          <w:p w14:paraId="6C2E9BEB" w14:textId="77777777" w:rsidR="00B930BA" w:rsidRDefault="00B930BA">
            <w:pPr>
              <w:keepNext/>
              <w:keepLines/>
              <w:spacing w:after="0" w:line="240" w:lineRule="auto"/>
            </w:pPr>
          </w:p>
        </w:tc>
        <w:tc>
          <w:tcPr>
            <w:tcW w:w="3180" w:type="dxa"/>
            <w:tcMar>
              <w:top w:w="0" w:type="dxa"/>
              <w:bottom w:w="0" w:type="dxa"/>
            </w:tcMar>
            <w:vAlign w:val="center"/>
          </w:tcPr>
          <w:p w14:paraId="532077F6" w14:textId="77777777" w:rsidR="00B930BA"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FA7004C" w14:textId="77777777" w:rsidR="00B930BA" w:rsidRDefault="00000000">
            <w:pPr>
              <w:keepNext/>
              <w:keepLines/>
              <w:spacing w:after="0" w:line="240" w:lineRule="auto"/>
            </w:pPr>
            <w:r>
              <w:rPr>
                <w:b/>
                <w:sz w:val="18"/>
              </w:rPr>
              <w:t>Y005</w:t>
            </w:r>
          </w:p>
        </w:tc>
        <w:tc>
          <w:tcPr>
            <w:tcW w:w="1860" w:type="dxa"/>
            <w:tcMar>
              <w:top w:w="0" w:type="dxa"/>
              <w:bottom w:w="0" w:type="dxa"/>
            </w:tcMar>
            <w:vAlign w:val="center"/>
          </w:tcPr>
          <w:p w14:paraId="64C3149C" w14:textId="77777777" w:rsidR="00B930BA" w:rsidRDefault="00000000">
            <w:pPr>
              <w:keepNext/>
              <w:keepLines/>
              <w:spacing w:after="0" w:line="240" w:lineRule="auto"/>
              <w:jc w:val="right"/>
            </w:pPr>
            <w:r>
              <w:rPr>
                <w:b/>
                <w:sz w:val="18"/>
              </w:rPr>
              <w:t>0,00</w:t>
            </w:r>
          </w:p>
        </w:tc>
        <w:tc>
          <w:tcPr>
            <w:tcW w:w="1860" w:type="dxa"/>
            <w:tcMar>
              <w:top w:w="0" w:type="dxa"/>
              <w:bottom w:w="0" w:type="dxa"/>
            </w:tcMar>
            <w:vAlign w:val="center"/>
          </w:tcPr>
          <w:p w14:paraId="2AFA9CEF" w14:textId="77777777" w:rsidR="00B930BA" w:rsidRDefault="00000000">
            <w:pPr>
              <w:keepNext/>
              <w:keepLines/>
              <w:spacing w:after="0" w:line="240" w:lineRule="auto"/>
              <w:jc w:val="right"/>
            </w:pPr>
            <w:r>
              <w:rPr>
                <w:b/>
                <w:sz w:val="18"/>
              </w:rPr>
              <w:t>42.224,28</w:t>
            </w:r>
          </w:p>
        </w:tc>
        <w:tc>
          <w:tcPr>
            <w:tcW w:w="700" w:type="dxa"/>
            <w:tcMar>
              <w:top w:w="0" w:type="dxa"/>
              <w:bottom w:w="0" w:type="dxa"/>
            </w:tcMar>
            <w:vAlign w:val="center"/>
          </w:tcPr>
          <w:p w14:paraId="6B6344C1" w14:textId="77777777" w:rsidR="00B930BA" w:rsidRDefault="00000000">
            <w:pPr>
              <w:keepNext/>
              <w:keepLines/>
              <w:spacing w:after="0" w:line="240" w:lineRule="auto"/>
              <w:jc w:val="right"/>
            </w:pPr>
            <w:r>
              <w:rPr>
                <w:b/>
                <w:sz w:val="18"/>
              </w:rPr>
              <w:t>-</w:t>
            </w:r>
          </w:p>
        </w:tc>
      </w:tr>
    </w:tbl>
    <w:p w14:paraId="04E83E90" w14:textId="77777777" w:rsidR="00B930BA" w:rsidRDefault="00B930BA">
      <w:pPr>
        <w:spacing w:after="0"/>
      </w:pPr>
    </w:p>
    <w:p w14:paraId="5CB4BC54" w14:textId="77777777" w:rsidR="00B930BA" w:rsidRDefault="00000000">
      <w:r>
        <w:t>Ukupni prihodi i primici Grada Lepoglave ostvareni u razdoblju od 1. siječnja od 31. prosinca 2025. godine iznosili su 5.734.680,11 €, odnosno 0,5 % ili 30.429,67 € više nego prethodne 2024. godine. Na rast prihoda poslovanja u promatranom razdoblju najvećim je dijelom utjecalo uvećanje prihoda od poreza na dohodak, prihoda od poreza na imovinu, prihoda od pomoći fiskalnog izravnanja te prihoda od financijske i nefinancijske imovine. Prihodi od prodaje nefinancijske imovine bilježe smanjenje za 51,9 %.</w:t>
      </w:r>
    </w:p>
    <w:p w14:paraId="1CA9CE31" w14:textId="77777777" w:rsidR="00B930BA" w:rsidRDefault="00000000">
      <w:r>
        <w:lastRenderedPageBreak/>
        <w:t>Ostvarenje ukupnih rashoda i izdataka 5.776.904,39 € što je za 15,2 % ili 764.187,22 € više u odnosu na isto razdoblje prethodne godine. Do uvećanja ukupnih rashoda u promatranom razdoblju došlo je uslijed povećanja na slijedećim pozicijama rashoda poslovanja: rashodi za plaće zaposlenika, ostali nespomenuti rashodi poslovanja, ostali financijski rashodi, rashodi za subvencije trgovačkim društvima, za pomoći proračunskim korisnicima drugih proračuna, za prijenose proračunskim korisnicima, za naknade građanima i kućanstvima i za tekuće donacije. Rashodi za nabavu nefinancijske imovine također bilježe rast u odnosu na ostvarenje prethodne godine za 66,4 %.</w:t>
      </w:r>
    </w:p>
    <w:p w14:paraId="3957E1F4" w14:textId="77777777" w:rsidR="00B930BA" w:rsidRDefault="00000000">
      <w:r>
        <w:t>Ostvaren je tekući manjak prihoda i primitaka u iznosu od 42.224,28 €. Višak prihoda i primitaka iz prethodnih razdoblja iznosi 1.030.035,71 € te se u sljedeće razdoblje prenosi ukupan višak u iznosu od 987.811,43 €.</w:t>
      </w:r>
    </w:p>
    <w:p w14:paraId="7B84114C" w14:textId="77777777" w:rsidR="00B930BA" w:rsidRDefault="00000000">
      <w:r>
        <w:br/>
      </w:r>
    </w:p>
    <w:p w14:paraId="149891A4" w14:textId="77777777" w:rsidR="00B930BA"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A467D23" w14:textId="77777777">
        <w:trPr>
          <w:cantSplit/>
        </w:trPr>
        <w:tc>
          <w:tcPr>
            <w:tcW w:w="700" w:type="dxa"/>
            <w:shd w:val="clear" w:color="auto" w:fill="E7F0F9"/>
            <w:tcMar>
              <w:top w:w="0" w:type="dxa"/>
              <w:bottom w:w="0" w:type="dxa"/>
            </w:tcMar>
            <w:vAlign w:val="center"/>
          </w:tcPr>
          <w:p w14:paraId="3C17EBF6"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C41CB9"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8ED5AE"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A81A0D"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FC3425"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9695DF5" w14:textId="77777777" w:rsidR="00B930BA" w:rsidRDefault="00000000">
            <w:pPr>
              <w:keepNext/>
              <w:keepLines/>
              <w:spacing w:after="0" w:line="240" w:lineRule="auto"/>
              <w:jc w:val="center"/>
            </w:pPr>
            <w:r>
              <w:rPr>
                <w:b/>
                <w:sz w:val="18"/>
              </w:rPr>
              <w:t>Indeks (%)</w:t>
            </w:r>
          </w:p>
        </w:tc>
      </w:tr>
      <w:tr w:rsidR="00B930BA" w14:paraId="08986ADB" w14:textId="77777777">
        <w:trPr>
          <w:cantSplit/>
          <w:trHeight w:val="560"/>
        </w:trPr>
        <w:tc>
          <w:tcPr>
            <w:tcW w:w="700" w:type="dxa"/>
            <w:tcMar>
              <w:top w:w="0" w:type="dxa"/>
              <w:bottom w:w="0" w:type="dxa"/>
            </w:tcMar>
            <w:vAlign w:val="center"/>
          </w:tcPr>
          <w:p w14:paraId="4D3B683A" w14:textId="77777777" w:rsidR="00B930BA" w:rsidRDefault="00000000">
            <w:pPr>
              <w:keepNext/>
              <w:keepLines/>
              <w:spacing w:after="0" w:line="240" w:lineRule="auto"/>
            </w:pPr>
            <w:r>
              <w:rPr>
                <w:sz w:val="18"/>
              </w:rPr>
              <w:t>6</w:t>
            </w:r>
          </w:p>
        </w:tc>
        <w:tc>
          <w:tcPr>
            <w:tcW w:w="3180" w:type="dxa"/>
            <w:tcMar>
              <w:top w:w="0" w:type="dxa"/>
              <w:bottom w:w="0" w:type="dxa"/>
            </w:tcMar>
            <w:vAlign w:val="center"/>
          </w:tcPr>
          <w:p w14:paraId="7B1A61F7" w14:textId="77777777" w:rsidR="00B930BA"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E2D4C53" w14:textId="77777777" w:rsidR="00B930BA" w:rsidRDefault="00000000">
            <w:pPr>
              <w:keepNext/>
              <w:keepLines/>
              <w:spacing w:after="0" w:line="240" w:lineRule="auto"/>
            </w:pPr>
            <w:r>
              <w:rPr>
                <w:sz w:val="18"/>
              </w:rPr>
              <w:t>6</w:t>
            </w:r>
          </w:p>
        </w:tc>
        <w:tc>
          <w:tcPr>
            <w:tcW w:w="1860" w:type="dxa"/>
            <w:tcMar>
              <w:top w:w="0" w:type="dxa"/>
              <w:bottom w:w="0" w:type="dxa"/>
            </w:tcMar>
            <w:vAlign w:val="center"/>
          </w:tcPr>
          <w:p w14:paraId="6AD5CEE9" w14:textId="77777777" w:rsidR="00B930BA" w:rsidRDefault="00000000">
            <w:pPr>
              <w:keepNext/>
              <w:keepLines/>
              <w:spacing w:after="0" w:line="240" w:lineRule="auto"/>
              <w:jc w:val="right"/>
            </w:pPr>
            <w:r>
              <w:rPr>
                <w:sz w:val="18"/>
              </w:rPr>
              <w:t>5.323.889,59</w:t>
            </w:r>
          </w:p>
        </w:tc>
        <w:tc>
          <w:tcPr>
            <w:tcW w:w="1860" w:type="dxa"/>
            <w:tcMar>
              <w:top w:w="0" w:type="dxa"/>
              <w:bottom w:w="0" w:type="dxa"/>
            </w:tcMar>
            <w:vAlign w:val="center"/>
          </w:tcPr>
          <w:p w14:paraId="276FBAC8" w14:textId="77777777" w:rsidR="00B930BA" w:rsidRDefault="00000000">
            <w:pPr>
              <w:keepNext/>
              <w:keepLines/>
              <w:spacing w:after="0" w:line="240" w:lineRule="auto"/>
              <w:jc w:val="right"/>
            </w:pPr>
            <w:r>
              <w:rPr>
                <w:sz w:val="18"/>
              </w:rPr>
              <w:t>5.551.586,57</w:t>
            </w:r>
          </w:p>
        </w:tc>
        <w:tc>
          <w:tcPr>
            <w:tcW w:w="700" w:type="dxa"/>
            <w:tcMar>
              <w:top w:w="0" w:type="dxa"/>
              <w:bottom w:w="0" w:type="dxa"/>
            </w:tcMar>
            <w:vAlign w:val="center"/>
          </w:tcPr>
          <w:p w14:paraId="045D4122" w14:textId="77777777" w:rsidR="00B930BA" w:rsidRDefault="00000000">
            <w:pPr>
              <w:keepNext/>
              <w:keepLines/>
              <w:spacing w:after="0" w:line="240" w:lineRule="auto"/>
              <w:jc w:val="right"/>
            </w:pPr>
            <w:r>
              <w:rPr>
                <w:sz w:val="18"/>
              </w:rPr>
              <w:t>104,3</w:t>
            </w:r>
          </w:p>
        </w:tc>
      </w:tr>
    </w:tbl>
    <w:p w14:paraId="5A47FB32" w14:textId="77777777" w:rsidR="00B930BA" w:rsidRDefault="00B930BA">
      <w:pPr>
        <w:spacing w:after="0"/>
      </w:pPr>
    </w:p>
    <w:p w14:paraId="167C8A61" w14:textId="77777777" w:rsidR="00B930BA" w:rsidRDefault="00000000">
      <w:r>
        <w:t>Prihodi poslovanja Grada Lepoglave ostvareni u razdoblju od 1. siječnja od 31. prosinca 2025. godine iznosili su 5.551.586,57 €, odnosno 4,3 % ili 227.696,98 € više nego u istom razdoblju prethodne 2024. godine. Na rast prihoda poslovanja u promatranom razdoblju utjecalo je uvećanje prihoda od poreza na dohodak, ali i rast ostalih skupina prihoda unutar ove pozicije - prihodi od poreza na imovinu, od poreza na robu i usluge, od pomoći fiskalnog izravnanja, od financijske i nefinancijske imovine, od komunalne naknade te prihodi od prodaje proizvoda i robe te pruženih usluga.</w:t>
      </w:r>
    </w:p>
    <w:p w14:paraId="42D55D37" w14:textId="77777777" w:rsidR="00B930BA" w:rsidRDefault="00B930BA"/>
    <w:p w14:paraId="0E65E6BE" w14:textId="77777777" w:rsidR="00B930BA"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D82C98F" w14:textId="77777777">
        <w:trPr>
          <w:cantSplit/>
        </w:trPr>
        <w:tc>
          <w:tcPr>
            <w:tcW w:w="700" w:type="dxa"/>
            <w:shd w:val="clear" w:color="auto" w:fill="E7F0F9"/>
            <w:tcMar>
              <w:top w:w="0" w:type="dxa"/>
              <w:bottom w:w="0" w:type="dxa"/>
            </w:tcMar>
            <w:vAlign w:val="center"/>
          </w:tcPr>
          <w:p w14:paraId="7651BFBE"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35C91F"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716FB8"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D7CE4C"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11F506"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F1E8F4" w14:textId="77777777" w:rsidR="00B930BA" w:rsidRDefault="00000000">
            <w:pPr>
              <w:keepNext/>
              <w:keepLines/>
              <w:spacing w:after="0" w:line="240" w:lineRule="auto"/>
              <w:jc w:val="center"/>
            </w:pPr>
            <w:r>
              <w:rPr>
                <w:b/>
                <w:sz w:val="18"/>
              </w:rPr>
              <w:t>Indeks (%)</w:t>
            </w:r>
          </w:p>
        </w:tc>
      </w:tr>
      <w:tr w:rsidR="00B930BA" w14:paraId="253072D7" w14:textId="77777777">
        <w:trPr>
          <w:cantSplit/>
          <w:trHeight w:val="560"/>
        </w:trPr>
        <w:tc>
          <w:tcPr>
            <w:tcW w:w="700" w:type="dxa"/>
            <w:tcMar>
              <w:top w:w="0" w:type="dxa"/>
              <w:bottom w:w="0" w:type="dxa"/>
            </w:tcMar>
            <w:vAlign w:val="center"/>
          </w:tcPr>
          <w:p w14:paraId="0D7B429A" w14:textId="77777777" w:rsidR="00B930BA" w:rsidRDefault="00000000">
            <w:pPr>
              <w:keepNext/>
              <w:keepLines/>
              <w:spacing w:after="0" w:line="240" w:lineRule="auto"/>
            </w:pPr>
            <w:r>
              <w:rPr>
                <w:sz w:val="18"/>
              </w:rPr>
              <w:t>611</w:t>
            </w:r>
          </w:p>
        </w:tc>
        <w:tc>
          <w:tcPr>
            <w:tcW w:w="3180" w:type="dxa"/>
            <w:tcMar>
              <w:top w:w="0" w:type="dxa"/>
              <w:bottom w:w="0" w:type="dxa"/>
            </w:tcMar>
            <w:vAlign w:val="center"/>
          </w:tcPr>
          <w:p w14:paraId="4CB6C4A4" w14:textId="77777777" w:rsidR="00B930BA"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1AA2B859" w14:textId="77777777" w:rsidR="00B930BA" w:rsidRDefault="00000000">
            <w:pPr>
              <w:keepNext/>
              <w:keepLines/>
              <w:spacing w:after="0" w:line="240" w:lineRule="auto"/>
            </w:pPr>
            <w:r>
              <w:rPr>
                <w:sz w:val="18"/>
              </w:rPr>
              <w:t>611</w:t>
            </w:r>
          </w:p>
        </w:tc>
        <w:tc>
          <w:tcPr>
            <w:tcW w:w="1860" w:type="dxa"/>
            <w:tcMar>
              <w:top w:w="0" w:type="dxa"/>
              <w:bottom w:w="0" w:type="dxa"/>
            </w:tcMar>
            <w:vAlign w:val="center"/>
          </w:tcPr>
          <w:p w14:paraId="6F86EFF7" w14:textId="77777777" w:rsidR="00B930BA" w:rsidRDefault="00000000">
            <w:pPr>
              <w:keepNext/>
              <w:keepLines/>
              <w:spacing w:after="0" w:line="240" w:lineRule="auto"/>
              <w:jc w:val="right"/>
            </w:pPr>
            <w:r>
              <w:rPr>
                <w:sz w:val="18"/>
              </w:rPr>
              <w:t>2.900.401,98</w:t>
            </w:r>
          </w:p>
        </w:tc>
        <w:tc>
          <w:tcPr>
            <w:tcW w:w="1860" w:type="dxa"/>
            <w:tcMar>
              <w:top w:w="0" w:type="dxa"/>
              <w:bottom w:w="0" w:type="dxa"/>
            </w:tcMar>
            <w:vAlign w:val="center"/>
          </w:tcPr>
          <w:p w14:paraId="26B0DB6E" w14:textId="77777777" w:rsidR="00B930BA" w:rsidRDefault="00000000">
            <w:pPr>
              <w:keepNext/>
              <w:keepLines/>
              <w:spacing w:after="0" w:line="240" w:lineRule="auto"/>
              <w:jc w:val="right"/>
            </w:pPr>
            <w:r>
              <w:rPr>
                <w:sz w:val="18"/>
              </w:rPr>
              <w:t>3.338.609,18</w:t>
            </w:r>
          </w:p>
        </w:tc>
        <w:tc>
          <w:tcPr>
            <w:tcW w:w="700" w:type="dxa"/>
            <w:tcMar>
              <w:top w:w="0" w:type="dxa"/>
              <w:bottom w:w="0" w:type="dxa"/>
            </w:tcMar>
            <w:vAlign w:val="center"/>
          </w:tcPr>
          <w:p w14:paraId="69DED8CF" w14:textId="77777777" w:rsidR="00B930BA" w:rsidRDefault="00000000">
            <w:pPr>
              <w:keepNext/>
              <w:keepLines/>
              <w:spacing w:after="0" w:line="240" w:lineRule="auto"/>
              <w:jc w:val="right"/>
            </w:pPr>
            <w:r>
              <w:rPr>
                <w:sz w:val="18"/>
              </w:rPr>
              <w:t>115,1</w:t>
            </w:r>
          </w:p>
        </w:tc>
      </w:tr>
    </w:tbl>
    <w:p w14:paraId="4EB25C53" w14:textId="77777777" w:rsidR="00B930BA" w:rsidRDefault="00B930BA">
      <w:pPr>
        <w:spacing w:after="0"/>
      </w:pPr>
    </w:p>
    <w:p w14:paraId="2B8CBB2A" w14:textId="77777777" w:rsidR="00B930BA" w:rsidRDefault="00000000">
      <w:r>
        <w:t>Prihodi od poreza na dohodak u razdoblju od 1. siječnja do 31. prosinca 2025. godine ostvareni su u iznosu od 3.338.609,18 €, odnosno 15,1 % ili 438.207,20 € više u odnosu na isto razdoblje prethodne 2024. godine. Na rast prihoda od poreza na dohodak najviše je utjecalo uvećanje prihoda od poreza na dohodak od nesamostalnog rada koji bilježi rast od 15,8 %, odnosno 476.162,69 €  te uvećanje prihoda od kapitala koji bilježe rast od 123,5 % ili 79.963,39 €.</w:t>
      </w:r>
    </w:p>
    <w:p w14:paraId="50F4FA05" w14:textId="77777777" w:rsidR="00B930BA" w:rsidRDefault="00000000">
      <w:r>
        <w:t>Od ostalih skupina prihoda unutar ove pozicije povećanje bilježi porez na dohodak od samostalnih djelatnosti za  9,3%, dok porez na dohodak od imovine i imovinskih prava bilježi smanjenje za 7,2 %.</w:t>
      </w:r>
    </w:p>
    <w:p w14:paraId="612881C2" w14:textId="77777777" w:rsidR="00B930BA" w:rsidRDefault="00B930BA"/>
    <w:p w14:paraId="6A06D78D" w14:textId="77777777" w:rsidR="00B930BA"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BC10770" w14:textId="77777777">
        <w:trPr>
          <w:cantSplit/>
        </w:trPr>
        <w:tc>
          <w:tcPr>
            <w:tcW w:w="700" w:type="dxa"/>
            <w:shd w:val="clear" w:color="auto" w:fill="E7F0F9"/>
            <w:tcMar>
              <w:top w:w="0" w:type="dxa"/>
              <w:bottom w:w="0" w:type="dxa"/>
            </w:tcMar>
            <w:vAlign w:val="center"/>
          </w:tcPr>
          <w:p w14:paraId="23882187"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7B01B3"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FCF8B5"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DE18F0"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6F7938"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8A1E82" w14:textId="77777777" w:rsidR="00B930BA" w:rsidRDefault="00000000">
            <w:pPr>
              <w:keepNext/>
              <w:keepLines/>
              <w:spacing w:after="0" w:line="240" w:lineRule="auto"/>
              <w:jc w:val="center"/>
            </w:pPr>
            <w:r>
              <w:rPr>
                <w:b/>
                <w:sz w:val="18"/>
              </w:rPr>
              <w:t>Indeks (%)</w:t>
            </w:r>
          </w:p>
        </w:tc>
      </w:tr>
      <w:tr w:rsidR="00B930BA" w14:paraId="26BA36B2" w14:textId="77777777">
        <w:trPr>
          <w:cantSplit/>
          <w:trHeight w:val="560"/>
        </w:trPr>
        <w:tc>
          <w:tcPr>
            <w:tcW w:w="700" w:type="dxa"/>
            <w:tcMar>
              <w:top w:w="0" w:type="dxa"/>
              <w:bottom w:w="0" w:type="dxa"/>
            </w:tcMar>
            <w:vAlign w:val="center"/>
          </w:tcPr>
          <w:p w14:paraId="374745F4" w14:textId="77777777" w:rsidR="00B930BA" w:rsidRDefault="00000000">
            <w:pPr>
              <w:keepNext/>
              <w:keepLines/>
              <w:spacing w:after="0" w:line="240" w:lineRule="auto"/>
            </w:pPr>
            <w:r>
              <w:rPr>
                <w:sz w:val="18"/>
              </w:rPr>
              <w:t>613</w:t>
            </w:r>
          </w:p>
        </w:tc>
        <w:tc>
          <w:tcPr>
            <w:tcW w:w="3180" w:type="dxa"/>
            <w:tcMar>
              <w:top w:w="0" w:type="dxa"/>
              <w:bottom w:w="0" w:type="dxa"/>
            </w:tcMar>
            <w:vAlign w:val="center"/>
          </w:tcPr>
          <w:p w14:paraId="44537BA1" w14:textId="77777777" w:rsidR="00B930BA"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51BAAF19" w14:textId="77777777" w:rsidR="00B930BA" w:rsidRDefault="00000000">
            <w:pPr>
              <w:keepNext/>
              <w:keepLines/>
              <w:spacing w:after="0" w:line="240" w:lineRule="auto"/>
            </w:pPr>
            <w:r>
              <w:rPr>
                <w:sz w:val="18"/>
              </w:rPr>
              <w:t>613</w:t>
            </w:r>
          </w:p>
        </w:tc>
        <w:tc>
          <w:tcPr>
            <w:tcW w:w="1860" w:type="dxa"/>
            <w:tcMar>
              <w:top w:w="0" w:type="dxa"/>
              <w:bottom w:w="0" w:type="dxa"/>
            </w:tcMar>
            <w:vAlign w:val="center"/>
          </w:tcPr>
          <w:p w14:paraId="01DC233C" w14:textId="77777777" w:rsidR="00B930BA" w:rsidRDefault="00000000">
            <w:pPr>
              <w:keepNext/>
              <w:keepLines/>
              <w:spacing w:after="0" w:line="240" w:lineRule="auto"/>
              <w:jc w:val="right"/>
            </w:pPr>
            <w:r>
              <w:rPr>
                <w:sz w:val="18"/>
              </w:rPr>
              <w:t>80.401,61</w:t>
            </w:r>
          </w:p>
        </w:tc>
        <w:tc>
          <w:tcPr>
            <w:tcW w:w="1860" w:type="dxa"/>
            <w:tcMar>
              <w:top w:w="0" w:type="dxa"/>
              <w:bottom w:w="0" w:type="dxa"/>
            </w:tcMar>
            <w:vAlign w:val="center"/>
          </w:tcPr>
          <w:p w14:paraId="75405D68" w14:textId="77777777" w:rsidR="00B930BA" w:rsidRDefault="00000000">
            <w:pPr>
              <w:keepNext/>
              <w:keepLines/>
              <w:spacing w:after="0" w:line="240" w:lineRule="auto"/>
              <w:jc w:val="right"/>
            </w:pPr>
            <w:r>
              <w:rPr>
                <w:sz w:val="18"/>
              </w:rPr>
              <w:t>101.135,79</w:t>
            </w:r>
          </w:p>
        </w:tc>
        <w:tc>
          <w:tcPr>
            <w:tcW w:w="700" w:type="dxa"/>
            <w:tcMar>
              <w:top w:w="0" w:type="dxa"/>
              <w:bottom w:w="0" w:type="dxa"/>
            </w:tcMar>
            <w:vAlign w:val="center"/>
          </w:tcPr>
          <w:p w14:paraId="414C49DB" w14:textId="77777777" w:rsidR="00B930BA" w:rsidRDefault="00000000">
            <w:pPr>
              <w:keepNext/>
              <w:keepLines/>
              <w:spacing w:after="0" w:line="240" w:lineRule="auto"/>
              <w:jc w:val="right"/>
            </w:pPr>
            <w:r>
              <w:rPr>
                <w:sz w:val="18"/>
              </w:rPr>
              <w:t>125,8</w:t>
            </w:r>
          </w:p>
        </w:tc>
      </w:tr>
    </w:tbl>
    <w:p w14:paraId="50D0FFDD" w14:textId="77777777" w:rsidR="00B930BA" w:rsidRDefault="00B930BA">
      <w:pPr>
        <w:spacing w:after="0"/>
      </w:pPr>
    </w:p>
    <w:p w14:paraId="7CF499C6" w14:textId="77777777" w:rsidR="00B930BA" w:rsidRDefault="00000000">
      <w:r>
        <w:t>Prihodi od poreza na imovinu u razdoblju od 1. siječnja do 31. prosinca 2025. godine ostvareni su u iznosu od 101.135,79 €, odnosno 25,8% ili 20.734,18 € više u odnosu na iste prihode ostvarene u promatranom razdoblju 2024. godine. Na rast prihoda od poreza na imovinu najvećim je djelom utjecalo povećanje na pozicijama prihoda od stalnih poreza na nepokretnu imovinu (zemlju, zgrade, kuće i ostalo) koji su ostvareni za 219,7 % ili 17.376,02 € više u odnosu na ostvarenje u istom razdoblju 2024. godine.</w:t>
      </w:r>
    </w:p>
    <w:p w14:paraId="4EBC2EA0" w14:textId="77777777" w:rsidR="00B930BA" w:rsidRDefault="00B930BA"/>
    <w:p w14:paraId="245586F8" w14:textId="77777777" w:rsidR="00B930BA"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41301CE3" w14:textId="77777777">
        <w:trPr>
          <w:cantSplit/>
        </w:trPr>
        <w:tc>
          <w:tcPr>
            <w:tcW w:w="700" w:type="dxa"/>
            <w:shd w:val="clear" w:color="auto" w:fill="E7F0F9"/>
            <w:tcMar>
              <w:top w:w="0" w:type="dxa"/>
              <w:bottom w:w="0" w:type="dxa"/>
            </w:tcMar>
            <w:vAlign w:val="center"/>
          </w:tcPr>
          <w:p w14:paraId="00279F9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21AF2F"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4A5D51"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EAB9F8"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ED299D"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6224F2" w14:textId="77777777" w:rsidR="00B930BA" w:rsidRDefault="00000000">
            <w:pPr>
              <w:keepNext/>
              <w:keepLines/>
              <w:spacing w:after="0" w:line="240" w:lineRule="auto"/>
              <w:jc w:val="center"/>
            </w:pPr>
            <w:r>
              <w:rPr>
                <w:b/>
                <w:sz w:val="18"/>
              </w:rPr>
              <w:t>Indeks (%)</w:t>
            </w:r>
          </w:p>
        </w:tc>
      </w:tr>
      <w:tr w:rsidR="00B930BA" w14:paraId="4D66F879" w14:textId="77777777">
        <w:trPr>
          <w:cantSplit/>
          <w:trHeight w:val="560"/>
        </w:trPr>
        <w:tc>
          <w:tcPr>
            <w:tcW w:w="700" w:type="dxa"/>
            <w:tcMar>
              <w:top w:w="0" w:type="dxa"/>
              <w:bottom w:w="0" w:type="dxa"/>
            </w:tcMar>
            <w:vAlign w:val="center"/>
          </w:tcPr>
          <w:p w14:paraId="6DD10A4D" w14:textId="77777777" w:rsidR="00B930BA" w:rsidRDefault="00000000">
            <w:pPr>
              <w:keepNext/>
              <w:keepLines/>
              <w:spacing w:after="0" w:line="240" w:lineRule="auto"/>
            </w:pPr>
            <w:r>
              <w:rPr>
                <w:sz w:val="18"/>
              </w:rPr>
              <w:t>633</w:t>
            </w:r>
          </w:p>
        </w:tc>
        <w:tc>
          <w:tcPr>
            <w:tcW w:w="3180" w:type="dxa"/>
            <w:tcMar>
              <w:top w:w="0" w:type="dxa"/>
              <w:bottom w:w="0" w:type="dxa"/>
            </w:tcMar>
            <w:vAlign w:val="center"/>
          </w:tcPr>
          <w:p w14:paraId="07852403" w14:textId="77777777" w:rsidR="00B930BA"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19C33A45" w14:textId="77777777" w:rsidR="00B930BA" w:rsidRDefault="00000000">
            <w:pPr>
              <w:keepNext/>
              <w:keepLines/>
              <w:spacing w:after="0" w:line="240" w:lineRule="auto"/>
            </w:pPr>
            <w:r>
              <w:rPr>
                <w:sz w:val="18"/>
              </w:rPr>
              <w:t>633</w:t>
            </w:r>
          </w:p>
        </w:tc>
        <w:tc>
          <w:tcPr>
            <w:tcW w:w="1860" w:type="dxa"/>
            <w:tcMar>
              <w:top w:w="0" w:type="dxa"/>
              <w:bottom w:w="0" w:type="dxa"/>
            </w:tcMar>
            <w:vAlign w:val="center"/>
          </w:tcPr>
          <w:p w14:paraId="719F1EDD" w14:textId="77777777" w:rsidR="00B930BA" w:rsidRDefault="00000000">
            <w:pPr>
              <w:keepNext/>
              <w:keepLines/>
              <w:spacing w:after="0" w:line="240" w:lineRule="auto"/>
              <w:jc w:val="right"/>
            </w:pPr>
            <w:r>
              <w:rPr>
                <w:sz w:val="18"/>
              </w:rPr>
              <w:t>1.769.342,48</w:t>
            </w:r>
          </w:p>
        </w:tc>
        <w:tc>
          <w:tcPr>
            <w:tcW w:w="1860" w:type="dxa"/>
            <w:tcMar>
              <w:top w:w="0" w:type="dxa"/>
              <w:bottom w:w="0" w:type="dxa"/>
            </w:tcMar>
            <w:vAlign w:val="center"/>
          </w:tcPr>
          <w:p w14:paraId="006FEE2A" w14:textId="77777777" w:rsidR="00B930BA" w:rsidRDefault="00000000">
            <w:pPr>
              <w:keepNext/>
              <w:keepLines/>
              <w:spacing w:after="0" w:line="240" w:lineRule="auto"/>
              <w:jc w:val="right"/>
            </w:pPr>
            <w:r>
              <w:rPr>
                <w:sz w:val="18"/>
              </w:rPr>
              <w:t>240.079,19</w:t>
            </w:r>
          </w:p>
        </w:tc>
        <w:tc>
          <w:tcPr>
            <w:tcW w:w="700" w:type="dxa"/>
            <w:tcMar>
              <w:top w:w="0" w:type="dxa"/>
              <w:bottom w:w="0" w:type="dxa"/>
            </w:tcMar>
            <w:vAlign w:val="center"/>
          </w:tcPr>
          <w:p w14:paraId="611067B2" w14:textId="77777777" w:rsidR="00B930BA" w:rsidRDefault="00000000">
            <w:pPr>
              <w:keepNext/>
              <w:keepLines/>
              <w:spacing w:after="0" w:line="240" w:lineRule="auto"/>
              <w:jc w:val="right"/>
            </w:pPr>
            <w:r>
              <w:rPr>
                <w:sz w:val="18"/>
              </w:rPr>
              <w:t>13,6</w:t>
            </w:r>
          </w:p>
        </w:tc>
      </w:tr>
    </w:tbl>
    <w:p w14:paraId="025712FA" w14:textId="77777777" w:rsidR="00B930BA" w:rsidRDefault="00B930BA">
      <w:pPr>
        <w:spacing w:after="0"/>
      </w:pPr>
    </w:p>
    <w:p w14:paraId="617FAC34" w14:textId="77777777" w:rsidR="00B930BA" w:rsidRDefault="00000000">
      <w:r>
        <w:t>Prihodi od pomoći proračunu iz drugih proračuna u razdoblju od 1. siječnja do 31. prosinca 2025. godine ostvareni su u iznosu od 240.079,19 €, odnosno 86,4 % ili 1.529.263,29 € manje u odnosu na prihode od pomoći ostvarene u istom razdoblju 2024. godine. Na ovako veliki pad prihoda od pomoći u promatranom razdoblju utjecao je novi način evidentiranja prihoda od pomoći za fiskalno izravnanje koji se od 01.01.2025. godine evidentiranju na novi način, unutar podskupine 635.</w:t>
      </w:r>
    </w:p>
    <w:p w14:paraId="79FE273F" w14:textId="77777777" w:rsidR="00B930BA" w:rsidRDefault="00B930BA"/>
    <w:p w14:paraId="2634A35C" w14:textId="77777777" w:rsidR="00B930BA"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3DC99D5" w14:textId="77777777">
        <w:trPr>
          <w:cantSplit/>
        </w:trPr>
        <w:tc>
          <w:tcPr>
            <w:tcW w:w="700" w:type="dxa"/>
            <w:shd w:val="clear" w:color="auto" w:fill="E7F0F9"/>
            <w:tcMar>
              <w:top w:w="0" w:type="dxa"/>
              <w:bottom w:w="0" w:type="dxa"/>
            </w:tcMar>
            <w:vAlign w:val="center"/>
          </w:tcPr>
          <w:p w14:paraId="4C6BC37B"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373553"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05A3B8"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669945"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12B439"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498C57A" w14:textId="77777777" w:rsidR="00B930BA" w:rsidRDefault="00000000">
            <w:pPr>
              <w:keepNext/>
              <w:keepLines/>
              <w:spacing w:after="0" w:line="240" w:lineRule="auto"/>
              <w:jc w:val="center"/>
            </w:pPr>
            <w:r>
              <w:rPr>
                <w:b/>
                <w:sz w:val="18"/>
              </w:rPr>
              <w:t>Indeks (%)</w:t>
            </w:r>
          </w:p>
        </w:tc>
      </w:tr>
      <w:tr w:rsidR="00B930BA" w14:paraId="1F68A0A7" w14:textId="77777777">
        <w:trPr>
          <w:cantSplit/>
          <w:trHeight w:val="560"/>
        </w:trPr>
        <w:tc>
          <w:tcPr>
            <w:tcW w:w="700" w:type="dxa"/>
            <w:tcMar>
              <w:top w:w="0" w:type="dxa"/>
              <w:bottom w:w="0" w:type="dxa"/>
            </w:tcMar>
            <w:vAlign w:val="center"/>
          </w:tcPr>
          <w:p w14:paraId="21066948" w14:textId="77777777" w:rsidR="00B930BA" w:rsidRDefault="00000000">
            <w:pPr>
              <w:keepNext/>
              <w:keepLines/>
              <w:spacing w:after="0" w:line="240" w:lineRule="auto"/>
            </w:pPr>
            <w:r>
              <w:rPr>
                <w:sz w:val="18"/>
              </w:rPr>
              <w:t>635</w:t>
            </w:r>
          </w:p>
        </w:tc>
        <w:tc>
          <w:tcPr>
            <w:tcW w:w="3180" w:type="dxa"/>
            <w:tcMar>
              <w:top w:w="0" w:type="dxa"/>
              <w:bottom w:w="0" w:type="dxa"/>
            </w:tcMar>
            <w:vAlign w:val="center"/>
          </w:tcPr>
          <w:p w14:paraId="0E01AE06" w14:textId="77777777" w:rsidR="00B930BA"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717DDEDD" w14:textId="77777777" w:rsidR="00B930BA" w:rsidRDefault="00000000">
            <w:pPr>
              <w:keepNext/>
              <w:keepLines/>
              <w:spacing w:after="0" w:line="240" w:lineRule="auto"/>
            </w:pPr>
            <w:r>
              <w:rPr>
                <w:sz w:val="18"/>
              </w:rPr>
              <w:t>635</w:t>
            </w:r>
          </w:p>
        </w:tc>
        <w:tc>
          <w:tcPr>
            <w:tcW w:w="1860" w:type="dxa"/>
            <w:tcMar>
              <w:top w:w="0" w:type="dxa"/>
              <w:bottom w:w="0" w:type="dxa"/>
            </w:tcMar>
            <w:vAlign w:val="center"/>
          </w:tcPr>
          <w:p w14:paraId="04DBB774" w14:textId="77777777" w:rsidR="00B930BA" w:rsidRDefault="00000000">
            <w:pPr>
              <w:keepNext/>
              <w:keepLines/>
              <w:spacing w:after="0" w:line="240" w:lineRule="auto"/>
              <w:jc w:val="right"/>
            </w:pPr>
            <w:r>
              <w:rPr>
                <w:sz w:val="18"/>
              </w:rPr>
              <w:t>0,00</w:t>
            </w:r>
          </w:p>
        </w:tc>
        <w:tc>
          <w:tcPr>
            <w:tcW w:w="1860" w:type="dxa"/>
            <w:tcMar>
              <w:top w:w="0" w:type="dxa"/>
              <w:bottom w:w="0" w:type="dxa"/>
            </w:tcMar>
            <w:vAlign w:val="center"/>
          </w:tcPr>
          <w:p w14:paraId="7C1997A8" w14:textId="77777777" w:rsidR="00B930BA" w:rsidRDefault="00000000">
            <w:pPr>
              <w:keepNext/>
              <w:keepLines/>
              <w:spacing w:after="0" w:line="240" w:lineRule="auto"/>
              <w:jc w:val="right"/>
            </w:pPr>
            <w:r>
              <w:rPr>
                <w:sz w:val="18"/>
              </w:rPr>
              <w:t>1.332.030,07</w:t>
            </w:r>
          </w:p>
        </w:tc>
        <w:tc>
          <w:tcPr>
            <w:tcW w:w="700" w:type="dxa"/>
            <w:tcMar>
              <w:top w:w="0" w:type="dxa"/>
              <w:bottom w:w="0" w:type="dxa"/>
            </w:tcMar>
            <w:vAlign w:val="center"/>
          </w:tcPr>
          <w:p w14:paraId="7CDC02E9" w14:textId="77777777" w:rsidR="00B930BA" w:rsidRDefault="00000000">
            <w:pPr>
              <w:keepNext/>
              <w:keepLines/>
              <w:spacing w:after="0" w:line="240" w:lineRule="auto"/>
              <w:jc w:val="right"/>
            </w:pPr>
            <w:r>
              <w:rPr>
                <w:sz w:val="18"/>
              </w:rPr>
              <w:t>-</w:t>
            </w:r>
          </w:p>
        </w:tc>
      </w:tr>
    </w:tbl>
    <w:p w14:paraId="0BE7F1D3" w14:textId="77777777" w:rsidR="00B930BA" w:rsidRDefault="00B930BA">
      <w:pPr>
        <w:spacing w:after="0"/>
      </w:pPr>
    </w:p>
    <w:p w14:paraId="5C34E63F" w14:textId="77777777" w:rsidR="00B930BA" w:rsidRDefault="00000000">
      <w:r>
        <w:t>Prihodi od pomoći fiskalnog izravnanja u razdoblju od 1. siječnja do 31. prosinca 2025. godine ostvareni su u iznosu od 1.332.030,07 €. U istom razdoblju prethodne godine na ovoj poziciji nije zabilježeno ostvarenje prihoda obzirom da se evidentiranje ove skupine prihoda unutar odjeljka 6353 primjenjuje od 01.01.2025. godine.</w:t>
      </w:r>
    </w:p>
    <w:p w14:paraId="7471DA5F" w14:textId="77777777" w:rsidR="00B930BA" w:rsidRDefault="00B930BA"/>
    <w:p w14:paraId="4ED36665" w14:textId="77777777" w:rsidR="00B930BA"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F26C11B" w14:textId="77777777">
        <w:trPr>
          <w:cantSplit/>
        </w:trPr>
        <w:tc>
          <w:tcPr>
            <w:tcW w:w="700" w:type="dxa"/>
            <w:shd w:val="clear" w:color="auto" w:fill="E7F0F9"/>
            <w:tcMar>
              <w:top w:w="0" w:type="dxa"/>
              <w:bottom w:w="0" w:type="dxa"/>
            </w:tcMar>
            <w:vAlign w:val="center"/>
          </w:tcPr>
          <w:p w14:paraId="1F0C228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94ABB2"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8B96AA"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1FF125"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72D5CE"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8136F9" w14:textId="77777777" w:rsidR="00B930BA" w:rsidRDefault="00000000">
            <w:pPr>
              <w:keepNext/>
              <w:keepLines/>
              <w:spacing w:after="0" w:line="240" w:lineRule="auto"/>
              <w:jc w:val="center"/>
            </w:pPr>
            <w:r>
              <w:rPr>
                <w:b/>
                <w:sz w:val="18"/>
              </w:rPr>
              <w:t>Indeks (%)</w:t>
            </w:r>
          </w:p>
        </w:tc>
      </w:tr>
      <w:tr w:rsidR="00B930BA" w14:paraId="62AE0E64" w14:textId="77777777">
        <w:trPr>
          <w:cantSplit/>
          <w:trHeight w:val="560"/>
        </w:trPr>
        <w:tc>
          <w:tcPr>
            <w:tcW w:w="700" w:type="dxa"/>
            <w:tcMar>
              <w:top w:w="0" w:type="dxa"/>
              <w:bottom w:w="0" w:type="dxa"/>
            </w:tcMar>
            <w:vAlign w:val="center"/>
          </w:tcPr>
          <w:p w14:paraId="7CCAE9B1" w14:textId="77777777" w:rsidR="00B930BA" w:rsidRDefault="00000000">
            <w:pPr>
              <w:keepNext/>
              <w:keepLines/>
              <w:spacing w:after="0" w:line="240" w:lineRule="auto"/>
            </w:pPr>
            <w:r>
              <w:rPr>
                <w:sz w:val="18"/>
              </w:rPr>
              <w:t>641</w:t>
            </w:r>
          </w:p>
        </w:tc>
        <w:tc>
          <w:tcPr>
            <w:tcW w:w="3180" w:type="dxa"/>
            <w:tcMar>
              <w:top w:w="0" w:type="dxa"/>
              <w:bottom w:w="0" w:type="dxa"/>
            </w:tcMar>
            <w:vAlign w:val="center"/>
          </w:tcPr>
          <w:p w14:paraId="0F74370C" w14:textId="77777777" w:rsidR="00B930BA"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787071B1" w14:textId="77777777" w:rsidR="00B930BA" w:rsidRDefault="00000000">
            <w:pPr>
              <w:keepNext/>
              <w:keepLines/>
              <w:spacing w:after="0" w:line="240" w:lineRule="auto"/>
            </w:pPr>
            <w:r>
              <w:rPr>
                <w:sz w:val="18"/>
              </w:rPr>
              <w:t>641</w:t>
            </w:r>
          </w:p>
        </w:tc>
        <w:tc>
          <w:tcPr>
            <w:tcW w:w="1860" w:type="dxa"/>
            <w:tcMar>
              <w:top w:w="0" w:type="dxa"/>
              <w:bottom w:w="0" w:type="dxa"/>
            </w:tcMar>
            <w:vAlign w:val="center"/>
          </w:tcPr>
          <w:p w14:paraId="0CC68532" w14:textId="77777777" w:rsidR="00B930BA" w:rsidRDefault="00000000">
            <w:pPr>
              <w:keepNext/>
              <w:keepLines/>
              <w:spacing w:after="0" w:line="240" w:lineRule="auto"/>
              <w:jc w:val="right"/>
            </w:pPr>
            <w:r>
              <w:rPr>
                <w:sz w:val="18"/>
              </w:rPr>
              <w:t>11.622,08</w:t>
            </w:r>
          </w:p>
        </w:tc>
        <w:tc>
          <w:tcPr>
            <w:tcW w:w="1860" w:type="dxa"/>
            <w:tcMar>
              <w:top w:w="0" w:type="dxa"/>
              <w:bottom w:w="0" w:type="dxa"/>
            </w:tcMar>
            <w:vAlign w:val="center"/>
          </w:tcPr>
          <w:p w14:paraId="36F0863D" w14:textId="77777777" w:rsidR="00B930BA" w:rsidRDefault="00000000">
            <w:pPr>
              <w:keepNext/>
              <w:keepLines/>
              <w:spacing w:after="0" w:line="240" w:lineRule="auto"/>
              <w:jc w:val="right"/>
            </w:pPr>
            <w:r>
              <w:rPr>
                <w:sz w:val="18"/>
              </w:rPr>
              <w:t>21.734,65</w:t>
            </w:r>
          </w:p>
        </w:tc>
        <w:tc>
          <w:tcPr>
            <w:tcW w:w="700" w:type="dxa"/>
            <w:tcMar>
              <w:top w:w="0" w:type="dxa"/>
              <w:bottom w:w="0" w:type="dxa"/>
            </w:tcMar>
            <w:vAlign w:val="center"/>
          </w:tcPr>
          <w:p w14:paraId="445A990B" w14:textId="77777777" w:rsidR="00B930BA" w:rsidRDefault="00000000">
            <w:pPr>
              <w:keepNext/>
              <w:keepLines/>
              <w:spacing w:after="0" w:line="240" w:lineRule="auto"/>
              <w:jc w:val="right"/>
            </w:pPr>
            <w:r>
              <w:rPr>
                <w:sz w:val="18"/>
              </w:rPr>
              <w:t>187,0</w:t>
            </w:r>
          </w:p>
        </w:tc>
      </w:tr>
    </w:tbl>
    <w:p w14:paraId="4A6AF289" w14:textId="77777777" w:rsidR="00B930BA" w:rsidRDefault="00B930BA">
      <w:pPr>
        <w:spacing w:after="0"/>
      </w:pPr>
    </w:p>
    <w:p w14:paraId="03E7544E" w14:textId="77777777" w:rsidR="00B930BA" w:rsidRDefault="00000000">
      <w:r>
        <w:t>Prihodi od financijske imovine u razdoblju od 1. siječnja do 31. prosinca 2025. godine ostvareni su u iznosu od 21.734,65 €, odnosno 87,0 % ili 10.112,57 € više u odnosu na prethodnu godinu. Na povećanje tih prihoda u promatranom razdoblju utjecalo je povećanje prihoda od kamata na depozite po viđenju. </w:t>
      </w:r>
    </w:p>
    <w:p w14:paraId="5C99E257" w14:textId="77777777" w:rsidR="00B930BA" w:rsidRDefault="00B930BA"/>
    <w:p w14:paraId="168D11AE" w14:textId="77777777" w:rsidR="00B930BA"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B3F86FE" w14:textId="77777777">
        <w:trPr>
          <w:cantSplit/>
        </w:trPr>
        <w:tc>
          <w:tcPr>
            <w:tcW w:w="700" w:type="dxa"/>
            <w:shd w:val="clear" w:color="auto" w:fill="E7F0F9"/>
            <w:tcMar>
              <w:top w:w="0" w:type="dxa"/>
              <w:bottom w:w="0" w:type="dxa"/>
            </w:tcMar>
            <w:vAlign w:val="center"/>
          </w:tcPr>
          <w:p w14:paraId="3CEBED2B"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F663D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61D593"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4B3C65"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58E048"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A11215" w14:textId="77777777" w:rsidR="00B930BA" w:rsidRDefault="00000000">
            <w:pPr>
              <w:keepNext/>
              <w:keepLines/>
              <w:spacing w:after="0" w:line="240" w:lineRule="auto"/>
              <w:jc w:val="center"/>
            </w:pPr>
            <w:r>
              <w:rPr>
                <w:b/>
                <w:sz w:val="18"/>
              </w:rPr>
              <w:t>Indeks (%)</w:t>
            </w:r>
          </w:p>
        </w:tc>
      </w:tr>
      <w:tr w:rsidR="00B930BA" w14:paraId="389011A9" w14:textId="77777777">
        <w:trPr>
          <w:cantSplit/>
          <w:trHeight w:val="560"/>
        </w:trPr>
        <w:tc>
          <w:tcPr>
            <w:tcW w:w="700" w:type="dxa"/>
            <w:tcMar>
              <w:top w:w="0" w:type="dxa"/>
              <w:bottom w:w="0" w:type="dxa"/>
            </w:tcMar>
            <w:vAlign w:val="center"/>
          </w:tcPr>
          <w:p w14:paraId="2F2AB689" w14:textId="77777777" w:rsidR="00B930BA" w:rsidRDefault="00000000">
            <w:pPr>
              <w:keepNext/>
              <w:keepLines/>
              <w:spacing w:after="0" w:line="240" w:lineRule="auto"/>
            </w:pPr>
            <w:r>
              <w:rPr>
                <w:sz w:val="18"/>
              </w:rPr>
              <w:t>642</w:t>
            </w:r>
          </w:p>
        </w:tc>
        <w:tc>
          <w:tcPr>
            <w:tcW w:w="3180" w:type="dxa"/>
            <w:tcMar>
              <w:top w:w="0" w:type="dxa"/>
              <w:bottom w:w="0" w:type="dxa"/>
            </w:tcMar>
            <w:vAlign w:val="center"/>
          </w:tcPr>
          <w:p w14:paraId="14A96DB4" w14:textId="77777777" w:rsidR="00B930BA"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42E25441" w14:textId="77777777" w:rsidR="00B930BA" w:rsidRDefault="00000000">
            <w:pPr>
              <w:keepNext/>
              <w:keepLines/>
              <w:spacing w:after="0" w:line="240" w:lineRule="auto"/>
            </w:pPr>
            <w:r>
              <w:rPr>
                <w:sz w:val="18"/>
              </w:rPr>
              <w:t>642</w:t>
            </w:r>
          </w:p>
        </w:tc>
        <w:tc>
          <w:tcPr>
            <w:tcW w:w="1860" w:type="dxa"/>
            <w:tcMar>
              <w:top w:w="0" w:type="dxa"/>
              <w:bottom w:w="0" w:type="dxa"/>
            </w:tcMar>
            <w:vAlign w:val="center"/>
          </w:tcPr>
          <w:p w14:paraId="7FC70E7C" w14:textId="77777777" w:rsidR="00B930BA" w:rsidRDefault="00000000">
            <w:pPr>
              <w:keepNext/>
              <w:keepLines/>
              <w:spacing w:after="0" w:line="240" w:lineRule="auto"/>
              <w:jc w:val="right"/>
            </w:pPr>
            <w:r>
              <w:rPr>
                <w:sz w:val="18"/>
              </w:rPr>
              <w:t>122.867,16</w:t>
            </w:r>
          </w:p>
        </w:tc>
        <w:tc>
          <w:tcPr>
            <w:tcW w:w="1860" w:type="dxa"/>
            <w:tcMar>
              <w:top w:w="0" w:type="dxa"/>
              <w:bottom w:w="0" w:type="dxa"/>
            </w:tcMar>
            <w:vAlign w:val="center"/>
          </w:tcPr>
          <w:p w14:paraId="1283B930" w14:textId="77777777" w:rsidR="00B930BA" w:rsidRDefault="00000000">
            <w:pPr>
              <w:keepNext/>
              <w:keepLines/>
              <w:spacing w:after="0" w:line="240" w:lineRule="auto"/>
              <w:jc w:val="right"/>
            </w:pPr>
            <w:r>
              <w:rPr>
                <w:sz w:val="18"/>
              </w:rPr>
              <w:t>239.625,55</w:t>
            </w:r>
          </w:p>
        </w:tc>
        <w:tc>
          <w:tcPr>
            <w:tcW w:w="700" w:type="dxa"/>
            <w:tcMar>
              <w:top w:w="0" w:type="dxa"/>
              <w:bottom w:w="0" w:type="dxa"/>
            </w:tcMar>
            <w:vAlign w:val="center"/>
          </w:tcPr>
          <w:p w14:paraId="62642FF1" w14:textId="77777777" w:rsidR="00B930BA" w:rsidRDefault="00000000">
            <w:pPr>
              <w:keepNext/>
              <w:keepLines/>
              <w:spacing w:after="0" w:line="240" w:lineRule="auto"/>
              <w:jc w:val="right"/>
            </w:pPr>
            <w:r>
              <w:rPr>
                <w:sz w:val="18"/>
              </w:rPr>
              <w:t>195,0</w:t>
            </w:r>
          </w:p>
        </w:tc>
      </w:tr>
    </w:tbl>
    <w:p w14:paraId="0A024375" w14:textId="77777777" w:rsidR="00B930BA" w:rsidRDefault="00B930BA">
      <w:pPr>
        <w:spacing w:after="0"/>
      </w:pPr>
    </w:p>
    <w:p w14:paraId="13E2A8C9" w14:textId="77777777" w:rsidR="00B930BA" w:rsidRDefault="00000000">
      <w:r>
        <w:t>Prihodi od nefinancijske imovine u razdoblju od 1. siječnja do 31. prosinca 2025. godine ostvareni su u iznosu od 239.625,55 €, odnosno 95,0 % ili 116.758,39 € više u odnosu na prethodnu godinu. Povećanje ove skupine prihoda rezultat je rasta prihoda unutar pozicije naknada za korištenje nefinancijske imovine dok ostale pozicije prihoda unutar ove pozicije bilježe smanjenje u odnosu na isto razdoblje 2024. godine.</w:t>
      </w:r>
    </w:p>
    <w:p w14:paraId="7971F338" w14:textId="77777777" w:rsidR="00B930BA" w:rsidRDefault="00B930BA"/>
    <w:p w14:paraId="238CA122" w14:textId="77777777" w:rsidR="00B930BA"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133DFC9" w14:textId="77777777">
        <w:trPr>
          <w:cantSplit/>
        </w:trPr>
        <w:tc>
          <w:tcPr>
            <w:tcW w:w="700" w:type="dxa"/>
            <w:shd w:val="clear" w:color="auto" w:fill="E7F0F9"/>
            <w:tcMar>
              <w:top w:w="0" w:type="dxa"/>
              <w:bottom w:w="0" w:type="dxa"/>
            </w:tcMar>
            <w:vAlign w:val="center"/>
          </w:tcPr>
          <w:p w14:paraId="650E5D81"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261AFE"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E6692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5CBFC7"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36217D"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AF9D57" w14:textId="77777777" w:rsidR="00B930BA" w:rsidRDefault="00000000">
            <w:pPr>
              <w:keepNext/>
              <w:keepLines/>
              <w:spacing w:after="0" w:line="240" w:lineRule="auto"/>
              <w:jc w:val="center"/>
            </w:pPr>
            <w:r>
              <w:rPr>
                <w:b/>
                <w:sz w:val="18"/>
              </w:rPr>
              <w:t>Indeks (%)</w:t>
            </w:r>
          </w:p>
        </w:tc>
      </w:tr>
      <w:tr w:rsidR="00B930BA" w14:paraId="06D098C2" w14:textId="77777777">
        <w:trPr>
          <w:cantSplit/>
          <w:trHeight w:val="560"/>
        </w:trPr>
        <w:tc>
          <w:tcPr>
            <w:tcW w:w="700" w:type="dxa"/>
            <w:tcMar>
              <w:top w:w="0" w:type="dxa"/>
              <w:bottom w:w="0" w:type="dxa"/>
            </w:tcMar>
            <w:vAlign w:val="center"/>
          </w:tcPr>
          <w:p w14:paraId="5E1CD8F1" w14:textId="77777777" w:rsidR="00B930BA" w:rsidRDefault="00000000">
            <w:pPr>
              <w:keepNext/>
              <w:keepLines/>
              <w:spacing w:after="0" w:line="240" w:lineRule="auto"/>
            </w:pPr>
            <w:r>
              <w:rPr>
                <w:sz w:val="18"/>
              </w:rPr>
              <w:t>653</w:t>
            </w:r>
          </w:p>
        </w:tc>
        <w:tc>
          <w:tcPr>
            <w:tcW w:w="3180" w:type="dxa"/>
            <w:tcMar>
              <w:top w:w="0" w:type="dxa"/>
              <w:bottom w:w="0" w:type="dxa"/>
            </w:tcMar>
            <w:vAlign w:val="center"/>
          </w:tcPr>
          <w:p w14:paraId="13BB74DD" w14:textId="77777777" w:rsidR="00B930BA"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197EF790" w14:textId="77777777" w:rsidR="00B930BA" w:rsidRDefault="00000000">
            <w:pPr>
              <w:keepNext/>
              <w:keepLines/>
              <w:spacing w:after="0" w:line="240" w:lineRule="auto"/>
            </w:pPr>
            <w:r>
              <w:rPr>
                <w:sz w:val="18"/>
              </w:rPr>
              <w:t>653</w:t>
            </w:r>
          </w:p>
        </w:tc>
        <w:tc>
          <w:tcPr>
            <w:tcW w:w="1860" w:type="dxa"/>
            <w:tcMar>
              <w:top w:w="0" w:type="dxa"/>
              <w:bottom w:w="0" w:type="dxa"/>
            </w:tcMar>
            <w:vAlign w:val="center"/>
          </w:tcPr>
          <w:p w14:paraId="36EC0869" w14:textId="77777777" w:rsidR="00B930BA" w:rsidRDefault="00000000">
            <w:pPr>
              <w:keepNext/>
              <w:keepLines/>
              <w:spacing w:after="0" w:line="240" w:lineRule="auto"/>
              <w:jc w:val="right"/>
            </w:pPr>
            <w:r>
              <w:rPr>
                <w:sz w:val="18"/>
              </w:rPr>
              <w:t>134.229,77</w:t>
            </w:r>
          </w:p>
        </w:tc>
        <w:tc>
          <w:tcPr>
            <w:tcW w:w="1860" w:type="dxa"/>
            <w:tcMar>
              <w:top w:w="0" w:type="dxa"/>
              <w:bottom w:w="0" w:type="dxa"/>
            </w:tcMar>
            <w:vAlign w:val="center"/>
          </w:tcPr>
          <w:p w14:paraId="180B675C" w14:textId="77777777" w:rsidR="00B930BA" w:rsidRDefault="00000000">
            <w:pPr>
              <w:keepNext/>
              <w:keepLines/>
              <w:spacing w:after="0" w:line="240" w:lineRule="auto"/>
              <w:jc w:val="right"/>
            </w:pPr>
            <w:r>
              <w:rPr>
                <w:sz w:val="18"/>
              </w:rPr>
              <w:t>141.093,00</w:t>
            </w:r>
          </w:p>
        </w:tc>
        <w:tc>
          <w:tcPr>
            <w:tcW w:w="700" w:type="dxa"/>
            <w:tcMar>
              <w:top w:w="0" w:type="dxa"/>
              <w:bottom w:w="0" w:type="dxa"/>
            </w:tcMar>
            <w:vAlign w:val="center"/>
          </w:tcPr>
          <w:p w14:paraId="0888E547" w14:textId="77777777" w:rsidR="00B930BA" w:rsidRDefault="00000000">
            <w:pPr>
              <w:keepNext/>
              <w:keepLines/>
              <w:spacing w:after="0" w:line="240" w:lineRule="auto"/>
              <w:jc w:val="right"/>
            </w:pPr>
            <w:r>
              <w:rPr>
                <w:sz w:val="18"/>
              </w:rPr>
              <w:t>105,1</w:t>
            </w:r>
          </w:p>
        </w:tc>
      </w:tr>
    </w:tbl>
    <w:p w14:paraId="0B80F44A" w14:textId="77777777" w:rsidR="00B930BA" w:rsidRDefault="00B930BA">
      <w:pPr>
        <w:spacing w:after="0"/>
      </w:pPr>
    </w:p>
    <w:p w14:paraId="6D287BFE" w14:textId="77777777" w:rsidR="00B930BA" w:rsidRDefault="00000000">
      <w:r>
        <w:t>Prihodi od komunalnih doprinosa i naknada u razdoblju od 1. siječnja do 31. prosinca 2025. godine ostvareni su u iznosu od 141.093,00 €, odnosno 5,1 % ili 6.863,23 € više u odnosu na isto razdoblju 2024. godine. Na povećanje unutar ove skupine prihoda utjecalo je povećanje na poziciji ostvarenih prihoda od komunalne naknade koji bilježe rast od 4,5 % ili 6.076,07 €.</w:t>
      </w:r>
    </w:p>
    <w:p w14:paraId="4529B98E" w14:textId="77777777" w:rsidR="00B930BA" w:rsidRDefault="00B930BA"/>
    <w:p w14:paraId="6CC06735" w14:textId="77777777" w:rsidR="00B930BA"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8AD25D3" w14:textId="77777777">
        <w:trPr>
          <w:cantSplit/>
        </w:trPr>
        <w:tc>
          <w:tcPr>
            <w:tcW w:w="700" w:type="dxa"/>
            <w:shd w:val="clear" w:color="auto" w:fill="E7F0F9"/>
            <w:tcMar>
              <w:top w:w="0" w:type="dxa"/>
              <w:bottom w:w="0" w:type="dxa"/>
            </w:tcMar>
            <w:vAlign w:val="center"/>
          </w:tcPr>
          <w:p w14:paraId="2C44484D"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96891D"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1700E3"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89FF20"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0D2F71"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2E1BA1A" w14:textId="77777777" w:rsidR="00B930BA" w:rsidRDefault="00000000">
            <w:pPr>
              <w:keepNext/>
              <w:keepLines/>
              <w:spacing w:after="0" w:line="240" w:lineRule="auto"/>
              <w:jc w:val="center"/>
            </w:pPr>
            <w:r>
              <w:rPr>
                <w:b/>
                <w:sz w:val="18"/>
              </w:rPr>
              <w:t>Indeks (%)</w:t>
            </w:r>
          </w:p>
        </w:tc>
      </w:tr>
      <w:tr w:rsidR="00B930BA" w14:paraId="13061DCF" w14:textId="77777777">
        <w:trPr>
          <w:cantSplit/>
          <w:trHeight w:val="560"/>
        </w:trPr>
        <w:tc>
          <w:tcPr>
            <w:tcW w:w="700" w:type="dxa"/>
            <w:tcMar>
              <w:top w:w="0" w:type="dxa"/>
              <w:bottom w:w="0" w:type="dxa"/>
            </w:tcMar>
            <w:vAlign w:val="center"/>
          </w:tcPr>
          <w:p w14:paraId="2590FA34" w14:textId="77777777" w:rsidR="00B930BA" w:rsidRDefault="00000000">
            <w:pPr>
              <w:keepNext/>
              <w:keepLines/>
              <w:spacing w:after="0" w:line="240" w:lineRule="auto"/>
            </w:pPr>
            <w:r>
              <w:rPr>
                <w:sz w:val="18"/>
              </w:rPr>
              <w:t>661</w:t>
            </w:r>
          </w:p>
        </w:tc>
        <w:tc>
          <w:tcPr>
            <w:tcW w:w="3180" w:type="dxa"/>
            <w:tcMar>
              <w:top w:w="0" w:type="dxa"/>
              <w:bottom w:w="0" w:type="dxa"/>
            </w:tcMar>
            <w:vAlign w:val="center"/>
          </w:tcPr>
          <w:p w14:paraId="45DB5BC1" w14:textId="77777777" w:rsidR="00B930BA"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0B5BE42B" w14:textId="77777777" w:rsidR="00B930BA" w:rsidRDefault="00000000">
            <w:pPr>
              <w:keepNext/>
              <w:keepLines/>
              <w:spacing w:after="0" w:line="240" w:lineRule="auto"/>
            </w:pPr>
            <w:r>
              <w:rPr>
                <w:sz w:val="18"/>
              </w:rPr>
              <w:t>661</w:t>
            </w:r>
          </w:p>
        </w:tc>
        <w:tc>
          <w:tcPr>
            <w:tcW w:w="1860" w:type="dxa"/>
            <w:tcMar>
              <w:top w:w="0" w:type="dxa"/>
              <w:bottom w:w="0" w:type="dxa"/>
            </w:tcMar>
            <w:vAlign w:val="center"/>
          </w:tcPr>
          <w:p w14:paraId="5F4CEC0F" w14:textId="77777777" w:rsidR="00B930BA" w:rsidRDefault="00000000">
            <w:pPr>
              <w:keepNext/>
              <w:keepLines/>
              <w:spacing w:after="0" w:line="240" w:lineRule="auto"/>
              <w:jc w:val="right"/>
            </w:pPr>
            <w:r>
              <w:rPr>
                <w:sz w:val="18"/>
              </w:rPr>
              <w:t>6.461,55</w:t>
            </w:r>
          </w:p>
        </w:tc>
        <w:tc>
          <w:tcPr>
            <w:tcW w:w="1860" w:type="dxa"/>
            <w:tcMar>
              <w:top w:w="0" w:type="dxa"/>
              <w:bottom w:w="0" w:type="dxa"/>
            </w:tcMar>
            <w:vAlign w:val="center"/>
          </w:tcPr>
          <w:p w14:paraId="2508DC42" w14:textId="77777777" w:rsidR="00B930BA" w:rsidRDefault="00000000">
            <w:pPr>
              <w:keepNext/>
              <w:keepLines/>
              <w:spacing w:after="0" w:line="240" w:lineRule="auto"/>
              <w:jc w:val="right"/>
            </w:pPr>
            <w:r>
              <w:rPr>
                <w:sz w:val="18"/>
              </w:rPr>
              <w:t>12.501,32</w:t>
            </w:r>
          </w:p>
        </w:tc>
        <w:tc>
          <w:tcPr>
            <w:tcW w:w="700" w:type="dxa"/>
            <w:tcMar>
              <w:top w:w="0" w:type="dxa"/>
              <w:bottom w:w="0" w:type="dxa"/>
            </w:tcMar>
            <w:vAlign w:val="center"/>
          </w:tcPr>
          <w:p w14:paraId="5FF69D87" w14:textId="77777777" w:rsidR="00B930BA" w:rsidRDefault="00000000">
            <w:pPr>
              <w:keepNext/>
              <w:keepLines/>
              <w:spacing w:after="0" w:line="240" w:lineRule="auto"/>
              <w:jc w:val="right"/>
            </w:pPr>
            <w:r>
              <w:rPr>
                <w:sz w:val="18"/>
              </w:rPr>
              <w:t>193,5</w:t>
            </w:r>
          </w:p>
        </w:tc>
      </w:tr>
    </w:tbl>
    <w:p w14:paraId="6CB258E6" w14:textId="77777777" w:rsidR="00B930BA" w:rsidRDefault="00B930BA">
      <w:pPr>
        <w:spacing w:after="0"/>
      </w:pPr>
    </w:p>
    <w:p w14:paraId="1109736F" w14:textId="77777777" w:rsidR="00B930BA" w:rsidRDefault="00000000">
      <w:r>
        <w:t>Prihodi od prodaje proizvoda i robe te pruženih usluga u razdoblju od 1. siječnja do 31. prosinca 2025. godine ostvareni su u iznosu od 12.501,32 €, što čini veće ostvarenje u odnosu na isto razdoblje prethodne godine za 6.039,77 € ili za 93,5% a povećanje bilježi pozicija prihoda od pruženih usluga.</w:t>
      </w:r>
    </w:p>
    <w:p w14:paraId="329E10D0" w14:textId="77777777" w:rsidR="00B930BA" w:rsidRDefault="00B930BA"/>
    <w:p w14:paraId="74F7CAD5" w14:textId="77777777" w:rsidR="00B930BA"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10637CAF" w14:textId="77777777">
        <w:trPr>
          <w:cantSplit/>
        </w:trPr>
        <w:tc>
          <w:tcPr>
            <w:tcW w:w="700" w:type="dxa"/>
            <w:shd w:val="clear" w:color="auto" w:fill="E7F0F9"/>
            <w:tcMar>
              <w:top w:w="0" w:type="dxa"/>
              <w:bottom w:w="0" w:type="dxa"/>
            </w:tcMar>
            <w:vAlign w:val="center"/>
          </w:tcPr>
          <w:p w14:paraId="612D545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08D33D"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9C91E5"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95C3A7"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7F9FC0"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2090E6" w14:textId="77777777" w:rsidR="00B930BA" w:rsidRDefault="00000000">
            <w:pPr>
              <w:keepNext/>
              <w:keepLines/>
              <w:spacing w:after="0" w:line="240" w:lineRule="auto"/>
              <w:jc w:val="center"/>
            </w:pPr>
            <w:r>
              <w:rPr>
                <w:b/>
                <w:sz w:val="18"/>
              </w:rPr>
              <w:t>Indeks (%)</w:t>
            </w:r>
          </w:p>
        </w:tc>
      </w:tr>
      <w:tr w:rsidR="00B930BA" w14:paraId="12B00344" w14:textId="77777777">
        <w:trPr>
          <w:cantSplit/>
          <w:trHeight w:val="560"/>
        </w:trPr>
        <w:tc>
          <w:tcPr>
            <w:tcW w:w="700" w:type="dxa"/>
            <w:tcMar>
              <w:top w:w="0" w:type="dxa"/>
              <w:bottom w:w="0" w:type="dxa"/>
            </w:tcMar>
            <w:vAlign w:val="center"/>
          </w:tcPr>
          <w:p w14:paraId="53B2F0BB" w14:textId="77777777" w:rsidR="00B930BA" w:rsidRDefault="00000000">
            <w:pPr>
              <w:keepNext/>
              <w:keepLines/>
              <w:spacing w:after="0" w:line="240" w:lineRule="auto"/>
            </w:pPr>
            <w:r>
              <w:rPr>
                <w:sz w:val="18"/>
              </w:rPr>
              <w:t>68</w:t>
            </w:r>
          </w:p>
        </w:tc>
        <w:tc>
          <w:tcPr>
            <w:tcW w:w="3180" w:type="dxa"/>
            <w:tcMar>
              <w:top w:w="0" w:type="dxa"/>
              <w:bottom w:w="0" w:type="dxa"/>
            </w:tcMar>
            <w:vAlign w:val="center"/>
          </w:tcPr>
          <w:p w14:paraId="12CA27C1" w14:textId="77777777" w:rsidR="00B930BA"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063C737" w14:textId="77777777" w:rsidR="00B930BA" w:rsidRDefault="00000000">
            <w:pPr>
              <w:keepNext/>
              <w:keepLines/>
              <w:spacing w:after="0" w:line="240" w:lineRule="auto"/>
            </w:pPr>
            <w:r>
              <w:rPr>
                <w:sz w:val="18"/>
              </w:rPr>
              <w:t>68</w:t>
            </w:r>
          </w:p>
        </w:tc>
        <w:tc>
          <w:tcPr>
            <w:tcW w:w="1860" w:type="dxa"/>
            <w:tcMar>
              <w:top w:w="0" w:type="dxa"/>
              <w:bottom w:w="0" w:type="dxa"/>
            </w:tcMar>
            <w:vAlign w:val="center"/>
          </w:tcPr>
          <w:p w14:paraId="3EDE7A59" w14:textId="77777777" w:rsidR="00B930BA" w:rsidRDefault="00000000">
            <w:pPr>
              <w:keepNext/>
              <w:keepLines/>
              <w:spacing w:after="0" w:line="240" w:lineRule="auto"/>
              <w:jc w:val="right"/>
            </w:pPr>
            <w:r>
              <w:rPr>
                <w:sz w:val="18"/>
              </w:rPr>
              <w:t>69.176,86</w:t>
            </w:r>
          </w:p>
        </w:tc>
        <w:tc>
          <w:tcPr>
            <w:tcW w:w="1860" w:type="dxa"/>
            <w:tcMar>
              <w:top w:w="0" w:type="dxa"/>
              <w:bottom w:w="0" w:type="dxa"/>
            </w:tcMar>
            <w:vAlign w:val="center"/>
          </w:tcPr>
          <w:p w14:paraId="78087B6D" w14:textId="77777777" w:rsidR="00B930BA" w:rsidRDefault="00000000">
            <w:pPr>
              <w:keepNext/>
              <w:keepLines/>
              <w:spacing w:after="0" w:line="240" w:lineRule="auto"/>
              <w:jc w:val="right"/>
            </w:pPr>
            <w:r>
              <w:rPr>
                <w:sz w:val="18"/>
              </w:rPr>
              <w:t>49.187,37</w:t>
            </w:r>
          </w:p>
        </w:tc>
        <w:tc>
          <w:tcPr>
            <w:tcW w:w="700" w:type="dxa"/>
            <w:tcMar>
              <w:top w:w="0" w:type="dxa"/>
              <w:bottom w:w="0" w:type="dxa"/>
            </w:tcMar>
            <w:vAlign w:val="center"/>
          </w:tcPr>
          <w:p w14:paraId="7873EF4B" w14:textId="77777777" w:rsidR="00B930BA" w:rsidRDefault="00000000">
            <w:pPr>
              <w:keepNext/>
              <w:keepLines/>
              <w:spacing w:after="0" w:line="240" w:lineRule="auto"/>
              <w:jc w:val="right"/>
            </w:pPr>
            <w:r>
              <w:rPr>
                <w:sz w:val="18"/>
              </w:rPr>
              <w:t>71,1</w:t>
            </w:r>
          </w:p>
        </w:tc>
      </w:tr>
    </w:tbl>
    <w:p w14:paraId="0579F44A" w14:textId="77777777" w:rsidR="00B930BA" w:rsidRDefault="00B930BA">
      <w:pPr>
        <w:spacing w:after="0"/>
      </w:pPr>
    </w:p>
    <w:p w14:paraId="329D7148" w14:textId="77777777" w:rsidR="00B930BA" w:rsidRDefault="00000000">
      <w:r>
        <w:t>Prihodi od kazni, upravnih mjera i ostali prihodi u razdoblju od 1. siječnja do 31. prosinca 2025. godine bilježe ostvarenje u iznosu od 49.187,37 €, što je manje u odnosu na isto razdoblje prethodne godine za 28,9 % ili 19.989,49 €. Smanjenje bilježi pozicija ostalih prihoda.</w:t>
      </w:r>
    </w:p>
    <w:p w14:paraId="5D0FAC0C" w14:textId="77777777" w:rsidR="00B930BA" w:rsidRDefault="00B930BA"/>
    <w:p w14:paraId="3D4840D8" w14:textId="77777777" w:rsidR="00B930BA"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3F6DE15" w14:textId="77777777">
        <w:trPr>
          <w:cantSplit/>
        </w:trPr>
        <w:tc>
          <w:tcPr>
            <w:tcW w:w="700" w:type="dxa"/>
            <w:shd w:val="clear" w:color="auto" w:fill="E7F0F9"/>
            <w:tcMar>
              <w:top w:w="0" w:type="dxa"/>
              <w:bottom w:w="0" w:type="dxa"/>
            </w:tcMar>
            <w:vAlign w:val="center"/>
          </w:tcPr>
          <w:p w14:paraId="17EC7B4F"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433B32"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42E18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D2D540"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4BF6F4"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4DCE79" w14:textId="77777777" w:rsidR="00B930BA" w:rsidRDefault="00000000">
            <w:pPr>
              <w:keepNext/>
              <w:keepLines/>
              <w:spacing w:after="0" w:line="240" w:lineRule="auto"/>
              <w:jc w:val="center"/>
            </w:pPr>
            <w:r>
              <w:rPr>
                <w:b/>
                <w:sz w:val="18"/>
              </w:rPr>
              <w:t>Indeks (%)</w:t>
            </w:r>
          </w:p>
        </w:tc>
      </w:tr>
      <w:tr w:rsidR="00B930BA" w14:paraId="0FFDDE46" w14:textId="77777777">
        <w:trPr>
          <w:cantSplit/>
          <w:trHeight w:val="560"/>
        </w:trPr>
        <w:tc>
          <w:tcPr>
            <w:tcW w:w="700" w:type="dxa"/>
            <w:tcMar>
              <w:top w:w="0" w:type="dxa"/>
              <w:bottom w:w="0" w:type="dxa"/>
            </w:tcMar>
            <w:vAlign w:val="center"/>
          </w:tcPr>
          <w:p w14:paraId="40B2BB92" w14:textId="77777777" w:rsidR="00B930BA" w:rsidRDefault="00000000">
            <w:pPr>
              <w:keepNext/>
              <w:keepLines/>
              <w:spacing w:after="0" w:line="240" w:lineRule="auto"/>
            </w:pPr>
            <w:r>
              <w:rPr>
                <w:sz w:val="18"/>
              </w:rPr>
              <w:t>3</w:t>
            </w:r>
          </w:p>
        </w:tc>
        <w:tc>
          <w:tcPr>
            <w:tcW w:w="3180" w:type="dxa"/>
            <w:tcMar>
              <w:top w:w="0" w:type="dxa"/>
              <w:bottom w:w="0" w:type="dxa"/>
            </w:tcMar>
            <w:vAlign w:val="center"/>
          </w:tcPr>
          <w:p w14:paraId="23D2B81E" w14:textId="77777777" w:rsidR="00B930BA"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65EE15D6" w14:textId="77777777" w:rsidR="00B930BA" w:rsidRDefault="00000000">
            <w:pPr>
              <w:keepNext/>
              <w:keepLines/>
              <w:spacing w:after="0" w:line="240" w:lineRule="auto"/>
            </w:pPr>
            <w:r>
              <w:rPr>
                <w:sz w:val="18"/>
              </w:rPr>
              <w:t>3</w:t>
            </w:r>
          </w:p>
        </w:tc>
        <w:tc>
          <w:tcPr>
            <w:tcW w:w="1860" w:type="dxa"/>
            <w:tcMar>
              <w:top w:w="0" w:type="dxa"/>
              <w:bottom w:w="0" w:type="dxa"/>
            </w:tcMar>
            <w:vAlign w:val="center"/>
          </w:tcPr>
          <w:p w14:paraId="79C8A2C2" w14:textId="77777777" w:rsidR="00B930BA" w:rsidRDefault="00000000">
            <w:pPr>
              <w:keepNext/>
              <w:keepLines/>
              <w:spacing w:after="0" w:line="240" w:lineRule="auto"/>
              <w:jc w:val="right"/>
            </w:pPr>
            <w:r>
              <w:rPr>
                <w:sz w:val="18"/>
              </w:rPr>
              <w:t>4.231.862,28</w:t>
            </w:r>
          </w:p>
        </w:tc>
        <w:tc>
          <w:tcPr>
            <w:tcW w:w="1860" w:type="dxa"/>
            <w:tcMar>
              <w:top w:w="0" w:type="dxa"/>
              <w:bottom w:w="0" w:type="dxa"/>
            </w:tcMar>
            <w:vAlign w:val="center"/>
          </w:tcPr>
          <w:p w14:paraId="2118DB86" w14:textId="77777777" w:rsidR="00B930BA" w:rsidRDefault="00000000">
            <w:pPr>
              <w:keepNext/>
              <w:keepLines/>
              <w:spacing w:after="0" w:line="240" w:lineRule="auto"/>
              <w:jc w:val="right"/>
            </w:pPr>
            <w:r>
              <w:rPr>
                <w:sz w:val="18"/>
              </w:rPr>
              <w:t>4.767.848,28</w:t>
            </w:r>
          </w:p>
        </w:tc>
        <w:tc>
          <w:tcPr>
            <w:tcW w:w="700" w:type="dxa"/>
            <w:tcMar>
              <w:top w:w="0" w:type="dxa"/>
              <w:bottom w:w="0" w:type="dxa"/>
            </w:tcMar>
            <w:vAlign w:val="center"/>
          </w:tcPr>
          <w:p w14:paraId="51AA5EA6" w14:textId="77777777" w:rsidR="00B930BA" w:rsidRDefault="00000000">
            <w:pPr>
              <w:keepNext/>
              <w:keepLines/>
              <w:spacing w:after="0" w:line="240" w:lineRule="auto"/>
              <w:jc w:val="right"/>
            </w:pPr>
            <w:r>
              <w:rPr>
                <w:sz w:val="18"/>
              </w:rPr>
              <w:t>112,7</w:t>
            </w:r>
          </w:p>
        </w:tc>
      </w:tr>
    </w:tbl>
    <w:p w14:paraId="1944E059" w14:textId="77777777" w:rsidR="00B930BA" w:rsidRDefault="00B930BA">
      <w:pPr>
        <w:spacing w:after="0"/>
      </w:pPr>
    </w:p>
    <w:p w14:paraId="025F83AA" w14:textId="77777777" w:rsidR="00B930BA" w:rsidRDefault="00000000">
      <w:r>
        <w:t>Rashodi poslovanja Grada Lepoglave u razdoblju od 1. siječnja od 31. prosinca 2025. godine ostvareni su u iznosu od 4.767.848,28 €, odnosno 12,7 % ili 535.986,00 € više nego prethodne 2024. godine. Na rast rashoda poslovanja najviše je utjecalo povećanje rashoda na pozicijama rashoda za plaće zaposlenika, ostalih nespomenutih rashodi poslovanja, rashoda za pomoći proračunskim korisnicima drugih proračuna i za prijenose proračunskim korisnicima te rashoda za ostale naknade građanima i kućanstvima iz proračuna i rashoda za tekuće donacije.</w:t>
      </w:r>
    </w:p>
    <w:p w14:paraId="254AAF41" w14:textId="77777777" w:rsidR="00B930BA" w:rsidRDefault="00B930BA"/>
    <w:p w14:paraId="3D3227AF" w14:textId="77777777" w:rsidR="00B930BA"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DA4F07B" w14:textId="77777777">
        <w:trPr>
          <w:cantSplit/>
        </w:trPr>
        <w:tc>
          <w:tcPr>
            <w:tcW w:w="700" w:type="dxa"/>
            <w:shd w:val="clear" w:color="auto" w:fill="E7F0F9"/>
            <w:tcMar>
              <w:top w:w="0" w:type="dxa"/>
              <w:bottom w:w="0" w:type="dxa"/>
            </w:tcMar>
            <w:vAlign w:val="center"/>
          </w:tcPr>
          <w:p w14:paraId="4829319A"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60B04B"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5814CB"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22B126"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F2CCF5"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AD97CA" w14:textId="77777777" w:rsidR="00B930BA" w:rsidRDefault="00000000">
            <w:pPr>
              <w:keepNext/>
              <w:keepLines/>
              <w:spacing w:after="0" w:line="240" w:lineRule="auto"/>
              <w:jc w:val="center"/>
            </w:pPr>
            <w:r>
              <w:rPr>
                <w:b/>
                <w:sz w:val="18"/>
              </w:rPr>
              <w:t>Indeks (%)</w:t>
            </w:r>
          </w:p>
        </w:tc>
      </w:tr>
      <w:tr w:rsidR="00B930BA" w14:paraId="17D31B90" w14:textId="77777777">
        <w:trPr>
          <w:cantSplit/>
          <w:trHeight w:val="560"/>
        </w:trPr>
        <w:tc>
          <w:tcPr>
            <w:tcW w:w="700" w:type="dxa"/>
            <w:tcMar>
              <w:top w:w="0" w:type="dxa"/>
              <w:bottom w:w="0" w:type="dxa"/>
            </w:tcMar>
            <w:vAlign w:val="center"/>
          </w:tcPr>
          <w:p w14:paraId="1BAA7F32" w14:textId="77777777" w:rsidR="00B930BA" w:rsidRDefault="00000000">
            <w:pPr>
              <w:keepNext/>
              <w:keepLines/>
              <w:spacing w:after="0" w:line="240" w:lineRule="auto"/>
            </w:pPr>
            <w:r>
              <w:rPr>
                <w:sz w:val="18"/>
              </w:rPr>
              <w:t>311</w:t>
            </w:r>
          </w:p>
        </w:tc>
        <w:tc>
          <w:tcPr>
            <w:tcW w:w="3180" w:type="dxa"/>
            <w:tcMar>
              <w:top w:w="0" w:type="dxa"/>
              <w:bottom w:w="0" w:type="dxa"/>
            </w:tcMar>
            <w:vAlign w:val="center"/>
          </w:tcPr>
          <w:p w14:paraId="76DE52D7" w14:textId="77777777" w:rsidR="00B930BA"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4A1CEC5A" w14:textId="77777777" w:rsidR="00B930BA" w:rsidRDefault="00000000">
            <w:pPr>
              <w:keepNext/>
              <w:keepLines/>
              <w:spacing w:after="0" w:line="240" w:lineRule="auto"/>
            </w:pPr>
            <w:r>
              <w:rPr>
                <w:sz w:val="18"/>
              </w:rPr>
              <w:t>311</w:t>
            </w:r>
          </w:p>
        </w:tc>
        <w:tc>
          <w:tcPr>
            <w:tcW w:w="1860" w:type="dxa"/>
            <w:tcMar>
              <w:top w:w="0" w:type="dxa"/>
              <w:bottom w:w="0" w:type="dxa"/>
            </w:tcMar>
            <w:vAlign w:val="center"/>
          </w:tcPr>
          <w:p w14:paraId="52A4286A" w14:textId="77777777" w:rsidR="00B930BA" w:rsidRDefault="00000000">
            <w:pPr>
              <w:keepNext/>
              <w:keepLines/>
              <w:spacing w:after="0" w:line="240" w:lineRule="auto"/>
              <w:jc w:val="right"/>
            </w:pPr>
            <w:r>
              <w:rPr>
                <w:sz w:val="18"/>
              </w:rPr>
              <w:t>231.995,59</w:t>
            </w:r>
          </w:p>
        </w:tc>
        <w:tc>
          <w:tcPr>
            <w:tcW w:w="1860" w:type="dxa"/>
            <w:tcMar>
              <w:top w:w="0" w:type="dxa"/>
              <w:bottom w:w="0" w:type="dxa"/>
            </w:tcMar>
            <w:vAlign w:val="center"/>
          </w:tcPr>
          <w:p w14:paraId="7EAF3DAD" w14:textId="77777777" w:rsidR="00B930BA" w:rsidRDefault="00000000">
            <w:pPr>
              <w:keepNext/>
              <w:keepLines/>
              <w:spacing w:after="0" w:line="240" w:lineRule="auto"/>
              <w:jc w:val="right"/>
            </w:pPr>
            <w:r>
              <w:rPr>
                <w:sz w:val="18"/>
              </w:rPr>
              <w:t>385.990,73</w:t>
            </w:r>
          </w:p>
        </w:tc>
        <w:tc>
          <w:tcPr>
            <w:tcW w:w="700" w:type="dxa"/>
            <w:tcMar>
              <w:top w:w="0" w:type="dxa"/>
              <w:bottom w:w="0" w:type="dxa"/>
            </w:tcMar>
            <w:vAlign w:val="center"/>
          </w:tcPr>
          <w:p w14:paraId="23DE0784" w14:textId="77777777" w:rsidR="00B930BA" w:rsidRDefault="00000000">
            <w:pPr>
              <w:keepNext/>
              <w:keepLines/>
              <w:spacing w:after="0" w:line="240" w:lineRule="auto"/>
              <w:jc w:val="right"/>
            </w:pPr>
            <w:r>
              <w:rPr>
                <w:sz w:val="18"/>
              </w:rPr>
              <w:t>166,4</w:t>
            </w:r>
          </w:p>
        </w:tc>
      </w:tr>
    </w:tbl>
    <w:p w14:paraId="18D5172A" w14:textId="77777777" w:rsidR="00B930BA" w:rsidRDefault="00B930BA">
      <w:pPr>
        <w:spacing w:after="0"/>
      </w:pPr>
    </w:p>
    <w:p w14:paraId="41E67469" w14:textId="77777777" w:rsidR="00B930BA" w:rsidRDefault="00000000">
      <w:r>
        <w:t>Rashodi za plaće zaposlenika u razdoblju od 1. siječnja do 31. prosinca 2025. godine ostvareni su u iznosu od 385.990,73 €, odnosno 66,4 % ili 153.995,14 € više u odnosu na rashode za plaće ostvarene u istom razdoblju 2024. godine. Zbog preustroja Jedinstvenog upravnog odjela u Upravne odjele javljaju se novi kadrovski zahtjevi te povećanje koeficijenata složenosti poslova. Formiranjem više upravnih odjela dolazi do potrebe za imenovanjem pročelnika i specijalizacije radnih mjesta. Također preustroj zahtijeva prilagodbu sistematizacije radnih mjesta prema važećim zakonima i podzakonskim aktima, koji određuju minimalne i maksimalne koeficijente za određene vrste poslova te sve navedeno rezultira i povećanjem rashoda na ovoj poziciji. Također, u promatranom razdoblju došlo je i do povećanja osnovice za izračun plaće.</w:t>
      </w:r>
    </w:p>
    <w:p w14:paraId="410CA4EE" w14:textId="77777777" w:rsidR="00B930BA" w:rsidRDefault="00B930BA"/>
    <w:p w14:paraId="1D200E90" w14:textId="77777777" w:rsidR="00B930BA"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5C9C9DE" w14:textId="77777777">
        <w:trPr>
          <w:cantSplit/>
        </w:trPr>
        <w:tc>
          <w:tcPr>
            <w:tcW w:w="700" w:type="dxa"/>
            <w:shd w:val="clear" w:color="auto" w:fill="E7F0F9"/>
            <w:tcMar>
              <w:top w:w="0" w:type="dxa"/>
              <w:bottom w:w="0" w:type="dxa"/>
            </w:tcMar>
            <w:vAlign w:val="center"/>
          </w:tcPr>
          <w:p w14:paraId="71DB647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A9B48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8022D1"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C4A276"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99707F"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7D73A2" w14:textId="77777777" w:rsidR="00B930BA" w:rsidRDefault="00000000">
            <w:pPr>
              <w:keepNext/>
              <w:keepLines/>
              <w:spacing w:after="0" w:line="240" w:lineRule="auto"/>
              <w:jc w:val="center"/>
            </w:pPr>
            <w:r>
              <w:rPr>
                <w:b/>
                <w:sz w:val="18"/>
              </w:rPr>
              <w:t>Indeks (%)</w:t>
            </w:r>
          </w:p>
        </w:tc>
      </w:tr>
      <w:tr w:rsidR="00B930BA" w14:paraId="0120F689" w14:textId="77777777">
        <w:trPr>
          <w:cantSplit/>
          <w:trHeight w:val="560"/>
        </w:trPr>
        <w:tc>
          <w:tcPr>
            <w:tcW w:w="700" w:type="dxa"/>
            <w:tcMar>
              <w:top w:w="0" w:type="dxa"/>
              <w:bottom w:w="0" w:type="dxa"/>
            </w:tcMar>
            <w:vAlign w:val="center"/>
          </w:tcPr>
          <w:p w14:paraId="09523673" w14:textId="77777777" w:rsidR="00B930BA" w:rsidRDefault="00000000">
            <w:pPr>
              <w:keepNext/>
              <w:keepLines/>
              <w:spacing w:after="0" w:line="240" w:lineRule="auto"/>
            </w:pPr>
            <w:r>
              <w:rPr>
                <w:sz w:val="18"/>
              </w:rPr>
              <w:t>329</w:t>
            </w:r>
          </w:p>
        </w:tc>
        <w:tc>
          <w:tcPr>
            <w:tcW w:w="3180" w:type="dxa"/>
            <w:tcMar>
              <w:top w:w="0" w:type="dxa"/>
              <w:bottom w:w="0" w:type="dxa"/>
            </w:tcMar>
            <w:vAlign w:val="center"/>
          </w:tcPr>
          <w:p w14:paraId="31FF835D" w14:textId="77777777" w:rsidR="00B930BA"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325F595B" w14:textId="77777777" w:rsidR="00B930BA" w:rsidRDefault="00000000">
            <w:pPr>
              <w:keepNext/>
              <w:keepLines/>
              <w:spacing w:after="0" w:line="240" w:lineRule="auto"/>
            </w:pPr>
            <w:r>
              <w:rPr>
                <w:sz w:val="18"/>
              </w:rPr>
              <w:t>329</w:t>
            </w:r>
          </w:p>
        </w:tc>
        <w:tc>
          <w:tcPr>
            <w:tcW w:w="1860" w:type="dxa"/>
            <w:tcMar>
              <w:top w:w="0" w:type="dxa"/>
              <w:bottom w:w="0" w:type="dxa"/>
            </w:tcMar>
            <w:vAlign w:val="center"/>
          </w:tcPr>
          <w:p w14:paraId="0EF3D858" w14:textId="77777777" w:rsidR="00B930BA" w:rsidRDefault="00000000">
            <w:pPr>
              <w:keepNext/>
              <w:keepLines/>
              <w:spacing w:after="0" w:line="240" w:lineRule="auto"/>
              <w:jc w:val="right"/>
            </w:pPr>
            <w:r>
              <w:rPr>
                <w:sz w:val="18"/>
              </w:rPr>
              <w:t>185.676,17</w:t>
            </w:r>
          </w:p>
        </w:tc>
        <w:tc>
          <w:tcPr>
            <w:tcW w:w="1860" w:type="dxa"/>
            <w:tcMar>
              <w:top w:w="0" w:type="dxa"/>
              <w:bottom w:w="0" w:type="dxa"/>
            </w:tcMar>
            <w:vAlign w:val="center"/>
          </w:tcPr>
          <w:p w14:paraId="3BBF6B1B" w14:textId="77777777" w:rsidR="00B930BA" w:rsidRDefault="00000000">
            <w:pPr>
              <w:keepNext/>
              <w:keepLines/>
              <w:spacing w:after="0" w:line="240" w:lineRule="auto"/>
              <w:jc w:val="right"/>
            </w:pPr>
            <w:r>
              <w:rPr>
                <w:sz w:val="18"/>
              </w:rPr>
              <w:t>238.663,14</w:t>
            </w:r>
          </w:p>
        </w:tc>
        <w:tc>
          <w:tcPr>
            <w:tcW w:w="700" w:type="dxa"/>
            <w:tcMar>
              <w:top w:w="0" w:type="dxa"/>
              <w:bottom w:w="0" w:type="dxa"/>
            </w:tcMar>
            <w:vAlign w:val="center"/>
          </w:tcPr>
          <w:p w14:paraId="397CBB0F" w14:textId="77777777" w:rsidR="00B930BA" w:rsidRDefault="00000000">
            <w:pPr>
              <w:keepNext/>
              <w:keepLines/>
              <w:spacing w:after="0" w:line="240" w:lineRule="auto"/>
              <w:jc w:val="right"/>
            </w:pPr>
            <w:r>
              <w:rPr>
                <w:sz w:val="18"/>
              </w:rPr>
              <w:t>128,5</w:t>
            </w:r>
          </w:p>
        </w:tc>
      </w:tr>
    </w:tbl>
    <w:p w14:paraId="689E8F34" w14:textId="77777777" w:rsidR="00B930BA" w:rsidRDefault="00B930BA">
      <w:pPr>
        <w:spacing w:after="0"/>
      </w:pPr>
    </w:p>
    <w:p w14:paraId="25E8A8E4" w14:textId="77777777" w:rsidR="00B930BA" w:rsidRDefault="00000000">
      <w:r>
        <w:t>Ostali nespomenuti rashodi poslovanja u razdoblju od 1. siječnja do 31. prosinca 2025. godine ostvareni su u iznosu od 238.663,14 €, odnosno 28,5 % ili 52.986,97 € više u odnosu na iste rashode ostvarene u promatranom razdoblju 2024. godine. Na rast ove skupine rashoda utjecalo je uvećanje rashoda za naknade za rad predstavničkih i izvršnih tijela, povjerenstava i slično  (povećanje od 150,4 % ili 50.373,37 €) i za ostale nespomenute rashode poslovanja (povećanje od 10,3 % ili 11.934,12 €).</w:t>
      </w:r>
    </w:p>
    <w:p w14:paraId="69A40074" w14:textId="77777777" w:rsidR="00B930BA" w:rsidRDefault="00B930BA"/>
    <w:p w14:paraId="53B242DF" w14:textId="77777777" w:rsidR="00B930BA"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C20DA7E" w14:textId="77777777">
        <w:trPr>
          <w:cantSplit/>
        </w:trPr>
        <w:tc>
          <w:tcPr>
            <w:tcW w:w="700" w:type="dxa"/>
            <w:shd w:val="clear" w:color="auto" w:fill="E7F0F9"/>
            <w:tcMar>
              <w:top w:w="0" w:type="dxa"/>
              <w:bottom w:w="0" w:type="dxa"/>
            </w:tcMar>
            <w:vAlign w:val="center"/>
          </w:tcPr>
          <w:p w14:paraId="78BC51F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A101E3"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D2523C"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A98983"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0D2588"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659C11" w14:textId="77777777" w:rsidR="00B930BA" w:rsidRDefault="00000000">
            <w:pPr>
              <w:keepNext/>
              <w:keepLines/>
              <w:spacing w:after="0" w:line="240" w:lineRule="auto"/>
              <w:jc w:val="center"/>
            </w:pPr>
            <w:r>
              <w:rPr>
                <w:b/>
                <w:sz w:val="18"/>
              </w:rPr>
              <w:t>Indeks (%)</w:t>
            </w:r>
          </w:p>
        </w:tc>
      </w:tr>
      <w:tr w:rsidR="00B930BA" w14:paraId="173C9EB3" w14:textId="77777777">
        <w:trPr>
          <w:cantSplit/>
          <w:trHeight w:val="560"/>
        </w:trPr>
        <w:tc>
          <w:tcPr>
            <w:tcW w:w="700" w:type="dxa"/>
            <w:tcMar>
              <w:top w:w="0" w:type="dxa"/>
              <w:bottom w:w="0" w:type="dxa"/>
            </w:tcMar>
            <w:vAlign w:val="center"/>
          </w:tcPr>
          <w:p w14:paraId="436AF4F5" w14:textId="77777777" w:rsidR="00B930BA" w:rsidRDefault="00000000">
            <w:pPr>
              <w:keepNext/>
              <w:keepLines/>
              <w:spacing w:after="0" w:line="240" w:lineRule="auto"/>
            </w:pPr>
            <w:r>
              <w:rPr>
                <w:sz w:val="18"/>
              </w:rPr>
              <w:t>351</w:t>
            </w:r>
          </w:p>
        </w:tc>
        <w:tc>
          <w:tcPr>
            <w:tcW w:w="3180" w:type="dxa"/>
            <w:tcMar>
              <w:top w:w="0" w:type="dxa"/>
              <w:bottom w:w="0" w:type="dxa"/>
            </w:tcMar>
            <w:vAlign w:val="center"/>
          </w:tcPr>
          <w:p w14:paraId="7944251B" w14:textId="77777777" w:rsidR="00B930BA" w:rsidRDefault="00000000">
            <w:pPr>
              <w:keepNext/>
              <w:keepLines/>
              <w:spacing w:after="0" w:line="240" w:lineRule="auto"/>
            </w:pPr>
            <w:r>
              <w:rPr>
                <w:sz w:val="18"/>
              </w:rPr>
              <w:t>Subvencije kreditnim i ostalim financijskim institucijama i trgovačkim društvima u javnom sektoru (šifre 3511+3512)</w:t>
            </w:r>
          </w:p>
        </w:tc>
        <w:tc>
          <w:tcPr>
            <w:tcW w:w="700" w:type="dxa"/>
            <w:tcMar>
              <w:top w:w="0" w:type="dxa"/>
              <w:bottom w:w="0" w:type="dxa"/>
            </w:tcMar>
            <w:vAlign w:val="center"/>
          </w:tcPr>
          <w:p w14:paraId="46506F4D" w14:textId="77777777" w:rsidR="00B930BA" w:rsidRDefault="00000000">
            <w:pPr>
              <w:keepNext/>
              <w:keepLines/>
              <w:spacing w:after="0" w:line="240" w:lineRule="auto"/>
            </w:pPr>
            <w:r>
              <w:rPr>
                <w:sz w:val="18"/>
              </w:rPr>
              <w:t>351</w:t>
            </w:r>
          </w:p>
        </w:tc>
        <w:tc>
          <w:tcPr>
            <w:tcW w:w="1860" w:type="dxa"/>
            <w:tcMar>
              <w:top w:w="0" w:type="dxa"/>
              <w:bottom w:w="0" w:type="dxa"/>
            </w:tcMar>
            <w:vAlign w:val="center"/>
          </w:tcPr>
          <w:p w14:paraId="16CAA56E" w14:textId="77777777" w:rsidR="00B930BA" w:rsidRDefault="00000000">
            <w:pPr>
              <w:keepNext/>
              <w:keepLines/>
              <w:spacing w:after="0" w:line="240" w:lineRule="auto"/>
              <w:jc w:val="right"/>
            </w:pPr>
            <w:r>
              <w:rPr>
                <w:sz w:val="18"/>
              </w:rPr>
              <w:t>328.060,00</w:t>
            </w:r>
          </w:p>
        </w:tc>
        <w:tc>
          <w:tcPr>
            <w:tcW w:w="1860" w:type="dxa"/>
            <w:tcMar>
              <w:top w:w="0" w:type="dxa"/>
              <w:bottom w:w="0" w:type="dxa"/>
            </w:tcMar>
            <w:vAlign w:val="center"/>
          </w:tcPr>
          <w:p w14:paraId="7739393C" w14:textId="77777777" w:rsidR="00B930BA" w:rsidRDefault="00000000">
            <w:pPr>
              <w:keepNext/>
              <w:keepLines/>
              <w:spacing w:after="0" w:line="240" w:lineRule="auto"/>
              <w:jc w:val="right"/>
            </w:pPr>
            <w:r>
              <w:rPr>
                <w:sz w:val="18"/>
              </w:rPr>
              <w:t>217.110,00</w:t>
            </w:r>
          </w:p>
        </w:tc>
        <w:tc>
          <w:tcPr>
            <w:tcW w:w="700" w:type="dxa"/>
            <w:tcMar>
              <w:top w:w="0" w:type="dxa"/>
              <w:bottom w:w="0" w:type="dxa"/>
            </w:tcMar>
            <w:vAlign w:val="center"/>
          </w:tcPr>
          <w:p w14:paraId="6955AF8D" w14:textId="77777777" w:rsidR="00B930BA" w:rsidRDefault="00000000">
            <w:pPr>
              <w:keepNext/>
              <w:keepLines/>
              <w:spacing w:after="0" w:line="240" w:lineRule="auto"/>
              <w:jc w:val="right"/>
            </w:pPr>
            <w:r>
              <w:rPr>
                <w:sz w:val="18"/>
              </w:rPr>
              <w:t>66,2</w:t>
            </w:r>
          </w:p>
        </w:tc>
      </w:tr>
    </w:tbl>
    <w:p w14:paraId="0BA0F0C7" w14:textId="77777777" w:rsidR="00B930BA" w:rsidRDefault="00B930BA">
      <w:pPr>
        <w:spacing w:after="0"/>
      </w:pPr>
    </w:p>
    <w:p w14:paraId="3841BB2A" w14:textId="77777777" w:rsidR="00B930BA" w:rsidRDefault="00000000">
      <w:r>
        <w:t>Rashodi za subvencije kreditnim institucijama i trgovačkim društvima u razdoblju od 1. siječnja do 31. prosinca 2025. godine ostvareni su u iznosu od 217.110,00 €, odnosno 33,8%  ili 110.950,00 € manje u odnosu na iste rashode ostvarene u promatranom razdoblju 2024. godine. Na smanjenje tih rashoda je utjecalo smanjenje rashoda za subvencije trgovačkim društvima u javnom sektoru.</w:t>
      </w:r>
    </w:p>
    <w:p w14:paraId="4CB60EED" w14:textId="77777777" w:rsidR="00B930BA" w:rsidRDefault="00B930BA"/>
    <w:p w14:paraId="7F677DAC" w14:textId="77777777" w:rsidR="00B930BA"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46C23081" w14:textId="77777777">
        <w:trPr>
          <w:cantSplit/>
        </w:trPr>
        <w:tc>
          <w:tcPr>
            <w:tcW w:w="700" w:type="dxa"/>
            <w:shd w:val="clear" w:color="auto" w:fill="E7F0F9"/>
            <w:tcMar>
              <w:top w:w="0" w:type="dxa"/>
              <w:bottom w:w="0" w:type="dxa"/>
            </w:tcMar>
            <w:vAlign w:val="center"/>
          </w:tcPr>
          <w:p w14:paraId="404D3F0C"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788A18"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56B9A6"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1CE3C2"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5A43C5"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E6C28C" w14:textId="77777777" w:rsidR="00B930BA" w:rsidRDefault="00000000">
            <w:pPr>
              <w:keepNext/>
              <w:keepLines/>
              <w:spacing w:after="0" w:line="240" w:lineRule="auto"/>
              <w:jc w:val="center"/>
            </w:pPr>
            <w:r>
              <w:rPr>
                <w:b/>
                <w:sz w:val="18"/>
              </w:rPr>
              <w:t>Indeks (%)</w:t>
            </w:r>
          </w:p>
        </w:tc>
      </w:tr>
      <w:tr w:rsidR="00B930BA" w14:paraId="7C48F747" w14:textId="77777777">
        <w:trPr>
          <w:cantSplit/>
          <w:trHeight w:val="560"/>
        </w:trPr>
        <w:tc>
          <w:tcPr>
            <w:tcW w:w="700" w:type="dxa"/>
            <w:tcMar>
              <w:top w:w="0" w:type="dxa"/>
              <w:bottom w:w="0" w:type="dxa"/>
            </w:tcMar>
            <w:vAlign w:val="center"/>
          </w:tcPr>
          <w:p w14:paraId="22CB8ED2" w14:textId="77777777" w:rsidR="00B930BA" w:rsidRDefault="00000000">
            <w:pPr>
              <w:keepNext/>
              <w:keepLines/>
              <w:spacing w:after="0" w:line="240" w:lineRule="auto"/>
            </w:pPr>
            <w:r>
              <w:rPr>
                <w:sz w:val="18"/>
              </w:rPr>
              <w:t>352</w:t>
            </w:r>
          </w:p>
        </w:tc>
        <w:tc>
          <w:tcPr>
            <w:tcW w:w="3180" w:type="dxa"/>
            <w:tcMar>
              <w:top w:w="0" w:type="dxa"/>
              <w:bottom w:w="0" w:type="dxa"/>
            </w:tcMar>
            <w:vAlign w:val="center"/>
          </w:tcPr>
          <w:p w14:paraId="7632CC7A" w14:textId="77777777" w:rsidR="00B930BA"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15DB5B62" w14:textId="77777777" w:rsidR="00B930BA" w:rsidRDefault="00000000">
            <w:pPr>
              <w:keepNext/>
              <w:keepLines/>
              <w:spacing w:after="0" w:line="240" w:lineRule="auto"/>
            </w:pPr>
            <w:r>
              <w:rPr>
                <w:sz w:val="18"/>
              </w:rPr>
              <w:t>352</w:t>
            </w:r>
          </w:p>
        </w:tc>
        <w:tc>
          <w:tcPr>
            <w:tcW w:w="1860" w:type="dxa"/>
            <w:tcMar>
              <w:top w:w="0" w:type="dxa"/>
              <w:bottom w:w="0" w:type="dxa"/>
            </w:tcMar>
            <w:vAlign w:val="center"/>
          </w:tcPr>
          <w:p w14:paraId="1B4D8A35" w14:textId="77777777" w:rsidR="00B930BA" w:rsidRDefault="00000000">
            <w:pPr>
              <w:keepNext/>
              <w:keepLines/>
              <w:spacing w:after="0" w:line="240" w:lineRule="auto"/>
              <w:jc w:val="right"/>
            </w:pPr>
            <w:r>
              <w:rPr>
                <w:sz w:val="18"/>
              </w:rPr>
              <w:t>96.169,03</w:t>
            </w:r>
          </w:p>
        </w:tc>
        <w:tc>
          <w:tcPr>
            <w:tcW w:w="1860" w:type="dxa"/>
            <w:tcMar>
              <w:top w:w="0" w:type="dxa"/>
              <w:bottom w:w="0" w:type="dxa"/>
            </w:tcMar>
            <w:vAlign w:val="center"/>
          </w:tcPr>
          <w:p w14:paraId="08BBD14C" w14:textId="77777777" w:rsidR="00B930BA" w:rsidRDefault="00000000">
            <w:pPr>
              <w:keepNext/>
              <w:keepLines/>
              <w:spacing w:after="0" w:line="240" w:lineRule="auto"/>
              <w:jc w:val="right"/>
            </w:pPr>
            <w:r>
              <w:rPr>
                <w:sz w:val="18"/>
              </w:rPr>
              <w:t>99.993,29</w:t>
            </w:r>
          </w:p>
        </w:tc>
        <w:tc>
          <w:tcPr>
            <w:tcW w:w="700" w:type="dxa"/>
            <w:tcMar>
              <w:top w:w="0" w:type="dxa"/>
              <w:bottom w:w="0" w:type="dxa"/>
            </w:tcMar>
            <w:vAlign w:val="center"/>
          </w:tcPr>
          <w:p w14:paraId="2859135F" w14:textId="77777777" w:rsidR="00B930BA" w:rsidRDefault="00000000">
            <w:pPr>
              <w:keepNext/>
              <w:keepLines/>
              <w:spacing w:after="0" w:line="240" w:lineRule="auto"/>
              <w:jc w:val="right"/>
            </w:pPr>
            <w:r>
              <w:rPr>
                <w:sz w:val="18"/>
              </w:rPr>
              <w:t>104,0</w:t>
            </w:r>
          </w:p>
        </w:tc>
      </w:tr>
    </w:tbl>
    <w:p w14:paraId="164361D8" w14:textId="77777777" w:rsidR="00B930BA" w:rsidRDefault="00B930BA">
      <w:pPr>
        <w:spacing w:after="0"/>
      </w:pPr>
    </w:p>
    <w:p w14:paraId="320D6978" w14:textId="77777777" w:rsidR="00B930BA" w:rsidRDefault="00000000">
      <w:r>
        <w:t>Rashodi za navedene subvencije u razdoblju od 1. siječnja do 31. prosinca 2025. godine ostvareni su u iznosu od 99.993,29 €, odnosno 4,0 %  ili 3.824,26 € više u odnosu na isto razdoblje prethodne 2024. godine. Na rast ove skupine rashoda utjecalo je uvećanje rashoda za subvencije poljoprivrednicima i obrtnicima za 17,9 % ili 3.334,29 €.</w:t>
      </w:r>
    </w:p>
    <w:p w14:paraId="4793FDCE" w14:textId="77777777" w:rsidR="00B930BA" w:rsidRDefault="00B930BA"/>
    <w:p w14:paraId="137CA02E" w14:textId="77777777" w:rsidR="00B930BA"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175A10E1" w14:textId="77777777">
        <w:trPr>
          <w:cantSplit/>
        </w:trPr>
        <w:tc>
          <w:tcPr>
            <w:tcW w:w="700" w:type="dxa"/>
            <w:shd w:val="clear" w:color="auto" w:fill="E7F0F9"/>
            <w:tcMar>
              <w:top w:w="0" w:type="dxa"/>
              <w:bottom w:w="0" w:type="dxa"/>
            </w:tcMar>
            <w:vAlign w:val="center"/>
          </w:tcPr>
          <w:p w14:paraId="2F19BE1B"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9EF0E5"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8C47ED"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B0148E"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11740A"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9D5F34" w14:textId="77777777" w:rsidR="00B930BA" w:rsidRDefault="00000000">
            <w:pPr>
              <w:keepNext/>
              <w:keepLines/>
              <w:spacing w:after="0" w:line="240" w:lineRule="auto"/>
              <w:jc w:val="center"/>
            </w:pPr>
            <w:r>
              <w:rPr>
                <w:b/>
                <w:sz w:val="18"/>
              </w:rPr>
              <w:t>Indeks (%)</w:t>
            </w:r>
          </w:p>
        </w:tc>
      </w:tr>
      <w:tr w:rsidR="00B930BA" w14:paraId="796DFF24" w14:textId="77777777">
        <w:trPr>
          <w:cantSplit/>
          <w:trHeight w:val="560"/>
        </w:trPr>
        <w:tc>
          <w:tcPr>
            <w:tcW w:w="700" w:type="dxa"/>
            <w:tcMar>
              <w:top w:w="0" w:type="dxa"/>
              <w:bottom w:w="0" w:type="dxa"/>
            </w:tcMar>
            <w:vAlign w:val="center"/>
          </w:tcPr>
          <w:p w14:paraId="75464A0C" w14:textId="77777777" w:rsidR="00B930BA" w:rsidRDefault="00000000">
            <w:pPr>
              <w:keepNext/>
              <w:keepLines/>
              <w:spacing w:after="0" w:line="240" w:lineRule="auto"/>
            </w:pPr>
            <w:r>
              <w:rPr>
                <w:sz w:val="18"/>
              </w:rPr>
              <w:t>363</w:t>
            </w:r>
          </w:p>
        </w:tc>
        <w:tc>
          <w:tcPr>
            <w:tcW w:w="3180" w:type="dxa"/>
            <w:tcMar>
              <w:top w:w="0" w:type="dxa"/>
              <w:bottom w:w="0" w:type="dxa"/>
            </w:tcMar>
            <w:vAlign w:val="center"/>
          </w:tcPr>
          <w:p w14:paraId="2493A50C" w14:textId="77777777" w:rsidR="00B930BA"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4F2F8C68" w14:textId="77777777" w:rsidR="00B930BA" w:rsidRDefault="00000000">
            <w:pPr>
              <w:keepNext/>
              <w:keepLines/>
              <w:spacing w:after="0" w:line="240" w:lineRule="auto"/>
            </w:pPr>
            <w:r>
              <w:rPr>
                <w:sz w:val="18"/>
              </w:rPr>
              <w:t>363</w:t>
            </w:r>
          </w:p>
        </w:tc>
        <w:tc>
          <w:tcPr>
            <w:tcW w:w="1860" w:type="dxa"/>
            <w:tcMar>
              <w:top w:w="0" w:type="dxa"/>
              <w:bottom w:w="0" w:type="dxa"/>
            </w:tcMar>
            <w:vAlign w:val="center"/>
          </w:tcPr>
          <w:p w14:paraId="6E2A63D2" w14:textId="77777777" w:rsidR="00B930BA" w:rsidRDefault="00000000">
            <w:pPr>
              <w:keepNext/>
              <w:keepLines/>
              <w:spacing w:after="0" w:line="240" w:lineRule="auto"/>
              <w:jc w:val="right"/>
            </w:pPr>
            <w:r>
              <w:rPr>
                <w:sz w:val="18"/>
              </w:rPr>
              <w:t>98.478,55</w:t>
            </w:r>
          </w:p>
        </w:tc>
        <w:tc>
          <w:tcPr>
            <w:tcW w:w="1860" w:type="dxa"/>
            <w:tcMar>
              <w:top w:w="0" w:type="dxa"/>
              <w:bottom w:w="0" w:type="dxa"/>
            </w:tcMar>
            <w:vAlign w:val="center"/>
          </w:tcPr>
          <w:p w14:paraId="6B445AA9" w14:textId="77777777" w:rsidR="00B930BA" w:rsidRDefault="00000000">
            <w:pPr>
              <w:keepNext/>
              <w:keepLines/>
              <w:spacing w:after="0" w:line="240" w:lineRule="auto"/>
              <w:jc w:val="right"/>
            </w:pPr>
            <w:r>
              <w:rPr>
                <w:sz w:val="18"/>
              </w:rPr>
              <w:t>43.432,01</w:t>
            </w:r>
          </w:p>
        </w:tc>
        <w:tc>
          <w:tcPr>
            <w:tcW w:w="700" w:type="dxa"/>
            <w:tcMar>
              <w:top w:w="0" w:type="dxa"/>
              <w:bottom w:w="0" w:type="dxa"/>
            </w:tcMar>
            <w:vAlign w:val="center"/>
          </w:tcPr>
          <w:p w14:paraId="3856EA79" w14:textId="77777777" w:rsidR="00B930BA" w:rsidRDefault="00000000">
            <w:pPr>
              <w:keepNext/>
              <w:keepLines/>
              <w:spacing w:after="0" w:line="240" w:lineRule="auto"/>
              <w:jc w:val="right"/>
            </w:pPr>
            <w:r>
              <w:rPr>
                <w:sz w:val="18"/>
              </w:rPr>
              <w:t>44,1</w:t>
            </w:r>
          </w:p>
        </w:tc>
      </w:tr>
    </w:tbl>
    <w:p w14:paraId="0BE20A75" w14:textId="77777777" w:rsidR="00B930BA" w:rsidRDefault="00B930BA">
      <w:pPr>
        <w:spacing w:after="0"/>
      </w:pPr>
    </w:p>
    <w:p w14:paraId="79B7E013" w14:textId="77777777" w:rsidR="00B930BA" w:rsidRDefault="00000000">
      <w:r>
        <w:t>Rashodi za pomoći drugom proračunu i izvanproračunskim korisnicima u razdoblju od 1. siječnja do 31. prosinca 2025. godine ostvareni su u iznosu od 43.432,01 €, odnosno 55,9 %  ili 55.046,54 € manje u odnosu na isto razdoblje 2024. godine. Smanjenje bilježi pozicija rashoda za tekuće pomoći drugom proračunu i izvanproračunskim korisnicima za 93,4 %, odnosno 91.958,54 €. Na poziciji rashoda za kapitalne pomoći drugom proračunu i izvanproračunskim korisnicima ostvareno je 36.912,00 €, a u istom razdoblju prethodne godine unutar ove pozicije nije bilo ostvarenja.</w:t>
      </w:r>
    </w:p>
    <w:p w14:paraId="1E1C343D" w14:textId="77777777" w:rsidR="00B930BA" w:rsidRDefault="00B930BA"/>
    <w:p w14:paraId="3B0CBB09" w14:textId="77777777" w:rsidR="00B930BA"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A864EE9" w14:textId="77777777">
        <w:trPr>
          <w:cantSplit/>
        </w:trPr>
        <w:tc>
          <w:tcPr>
            <w:tcW w:w="700" w:type="dxa"/>
            <w:shd w:val="clear" w:color="auto" w:fill="E7F0F9"/>
            <w:tcMar>
              <w:top w:w="0" w:type="dxa"/>
              <w:bottom w:w="0" w:type="dxa"/>
            </w:tcMar>
            <w:vAlign w:val="center"/>
          </w:tcPr>
          <w:p w14:paraId="72702EEB"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C4E7BA"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FABC3D"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1438B1"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CFB18B"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DB1A21" w14:textId="77777777" w:rsidR="00B930BA" w:rsidRDefault="00000000">
            <w:pPr>
              <w:keepNext/>
              <w:keepLines/>
              <w:spacing w:after="0" w:line="240" w:lineRule="auto"/>
              <w:jc w:val="center"/>
            </w:pPr>
            <w:r>
              <w:rPr>
                <w:b/>
                <w:sz w:val="18"/>
              </w:rPr>
              <w:t>Indeks (%)</w:t>
            </w:r>
          </w:p>
        </w:tc>
      </w:tr>
      <w:tr w:rsidR="00B930BA" w14:paraId="4BFDAE57" w14:textId="77777777">
        <w:trPr>
          <w:cantSplit/>
          <w:trHeight w:val="560"/>
        </w:trPr>
        <w:tc>
          <w:tcPr>
            <w:tcW w:w="700" w:type="dxa"/>
            <w:tcMar>
              <w:top w:w="0" w:type="dxa"/>
              <w:bottom w:w="0" w:type="dxa"/>
            </w:tcMar>
            <w:vAlign w:val="center"/>
          </w:tcPr>
          <w:p w14:paraId="4D8E2233" w14:textId="77777777" w:rsidR="00B930BA" w:rsidRDefault="00000000">
            <w:pPr>
              <w:keepNext/>
              <w:keepLines/>
              <w:spacing w:after="0" w:line="240" w:lineRule="auto"/>
            </w:pPr>
            <w:r>
              <w:rPr>
                <w:sz w:val="18"/>
              </w:rPr>
              <w:t>366</w:t>
            </w:r>
          </w:p>
        </w:tc>
        <w:tc>
          <w:tcPr>
            <w:tcW w:w="3180" w:type="dxa"/>
            <w:tcMar>
              <w:top w:w="0" w:type="dxa"/>
              <w:bottom w:w="0" w:type="dxa"/>
            </w:tcMar>
            <w:vAlign w:val="center"/>
          </w:tcPr>
          <w:p w14:paraId="60C2EB65" w14:textId="77777777" w:rsidR="00B930BA"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30CD7EF9" w14:textId="77777777" w:rsidR="00B930BA" w:rsidRDefault="00000000">
            <w:pPr>
              <w:keepNext/>
              <w:keepLines/>
              <w:spacing w:after="0" w:line="240" w:lineRule="auto"/>
            </w:pPr>
            <w:r>
              <w:rPr>
                <w:sz w:val="18"/>
              </w:rPr>
              <w:t>366</w:t>
            </w:r>
          </w:p>
        </w:tc>
        <w:tc>
          <w:tcPr>
            <w:tcW w:w="1860" w:type="dxa"/>
            <w:tcMar>
              <w:top w:w="0" w:type="dxa"/>
              <w:bottom w:w="0" w:type="dxa"/>
            </w:tcMar>
            <w:vAlign w:val="center"/>
          </w:tcPr>
          <w:p w14:paraId="568CE4E8" w14:textId="77777777" w:rsidR="00B930BA" w:rsidRDefault="00000000">
            <w:pPr>
              <w:keepNext/>
              <w:keepLines/>
              <w:spacing w:after="0" w:line="240" w:lineRule="auto"/>
              <w:jc w:val="right"/>
            </w:pPr>
            <w:r>
              <w:rPr>
                <w:sz w:val="18"/>
              </w:rPr>
              <w:t>41.030,10</w:t>
            </w:r>
          </w:p>
        </w:tc>
        <w:tc>
          <w:tcPr>
            <w:tcW w:w="1860" w:type="dxa"/>
            <w:tcMar>
              <w:top w:w="0" w:type="dxa"/>
              <w:bottom w:w="0" w:type="dxa"/>
            </w:tcMar>
            <w:vAlign w:val="center"/>
          </w:tcPr>
          <w:p w14:paraId="763678F0" w14:textId="77777777" w:rsidR="00B930BA" w:rsidRDefault="00000000">
            <w:pPr>
              <w:keepNext/>
              <w:keepLines/>
              <w:spacing w:after="0" w:line="240" w:lineRule="auto"/>
              <w:jc w:val="right"/>
            </w:pPr>
            <w:r>
              <w:rPr>
                <w:sz w:val="18"/>
              </w:rPr>
              <w:t>61.016,36</w:t>
            </w:r>
          </w:p>
        </w:tc>
        <w:tc>
          <w:tcPr>
            <w:tcW w:w="700" w:type="dxa"/>
            <w:tcMar>
              <w:top w:w="0" w:type="dxa"/>
              <w:bottom w:w="0" w:type="dxa"/>
            </w:tcMar>
            <w:vAlign w:val="center"/>
          </w:tcPr>
          <w:p w14:paraId="22CA752B" w14:textId="77777777" w:rsidR="00B930BA" w:rsidRDefault="00000000">
            <w:pPr>
              <w:keepNext/>
              <w:keepLines/>
              <w:spacing w:after="0" w:line="240" w:lineRule="auto"/>
              <w:jc w:val="right"/>
            </w:pPr>
            <w:r>
              <w:rPr>
                <w:sz w:val="18"/>
              </w:rPr>
              <w:t>148,7</w:t>
            </w:r>
          </w:p>
        </w:tc>
      </w:tr>
    </w:tbl>
    <w:p w14:paraId="5E161087" w14:textId="77777777" w:rsidR="00B930BA" w:rsidRDefault="00B930BA">
      <w:pPr>
        <w:spacing w:after="0"/>
      </w:pPr>
    </w:p>
    <w:p w14:paraId="0F84EB7B" w14:textId="77777777" w:rsidR="00B930BA" w:rsidRDefault="00000000">
      <w:r>
        <w:t>Rashodi za pomoći proračunskim korisnicima drugih proračuna u razdoblju od 1. siječnja do 31. prosinca 2025. godine ostvareni su u iznosu od 61.016,36 €, odnosno 48,7 %  ili 19.986,26 € više u odnosu na isto razdoblje 2024. godine. Povećanje bilježi pozicija rashoda za tekuće pomoći proračunskim korisnicima drugih proračuna.</w:t>
      </w:r>
    </w:p>
    <w:p w14:paraId="794A7864" w14:textId="77777777" w:rsidR="00B930BA" w:rsidRDefault="00B930BA"/>
    <w:p w14:paraId="38F982B3" w14:textId="77777777" w:rsidR="00B930BA"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49C430E3" w14:textId="77777777">
        <w:trPr>
          <w:cantSplit/>
        </w:trPr>
        <w:tc>
          <w:tcPr>
            <w:tcW w:w="700" w:type="dxa"/>
            <w:shd w:val="clear" w:color="auto" w:fill="E7F0F9"/>
            <w:tcMar>
              <w:top w:w="0" w:type="dxa"/>
              <w:bottom w:w="0" w:type="dxa"/>
            </w:tcMar>
            <w:vAlign w:val="center"/>
          </w:tcPr>
          <w:p w14:paraId="5717D5EE"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77018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833BE4"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9D601C"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7CFA8D"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A4A7BF" w14:textId="77777777" w:rsidR="00B930BA" w:rsidRDefault="00000000">
            <w:pPr>
              <w:keepNext/>
              <w:keepLines/>
              <w:spacing w:after="0" w:line="240" w:lineRule="auto"/>
              <w:jc w:val="center"/>
            </w:pPr>
            <w:r>
              <w:rPr>
                <w:b/>
                <w:sz w:val="18"/>
              </w:rPr>
              <w:t>Indeks (%)</w:t>
            </w:r>
          </w:p>
        </w:tc>
      </w:tr>
      <w:tr w:rsidR="00B930BA" w14:paraId="628E342B" w14:textId="77777777">
        <w:trPr>
          <w:cantSplit/>
          <w:trHeight w:val="560"/>
        </w:trPr>
        <w:tc>
          <w:tcPr>
            <w:tcW w:w="700" w:type="dxa"/>
            <w:tcMar>
              <w:top w:w="0" w:type="dxa"/>
              <w:bottom w:w="0" w:type="dxa"/>
            </w:tcMar>
            <w:vAlign w:val="center"/>
          </w:tcPr>
          <w:p w14:paraId="069460E4" w14:textId="77777777" w:rsidR="00B930BA" w:rsidRDefault="00000000">
            <w:pPr>
              <w:keepNext/>
              <w:keepLines/>
              <w:spacing w:after="0" w:line="240" w:lineRule="auto"/>
            </w:pPr>
            <w:r>
              <w:rPr>
                <w:sz w:val="18"/>
              </w:rPr>
              <w:t>367</w:t>
            </w:r>
          </w:p>
        </w:tc>
        <w:tc>
          <w:tcPr>
            <w:tcW w:w="3180" w:type="dxa"/>
            <w:tcMar>
              <w:top w:w="0" w:type="dxa"/>
              <w:bottom w:w="0" w:type="dxa"/>
            </w:tcMar>
            <w:vAlign w:val="center"/>
          </w:tcPr>
          <w:p w14:paraId="0555B7F0" w14:textId="77777777" w:rsidR="00B930BA"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447E3300" w14:textId="77777777" w:rsidR="00B930BA" w:rsidRDefault="00000000">
            <w:pPr>
              <w:keepNext/>
              <w:keepLines/>
              <w:spacing w:after="0" w:line="240" w:lineRule="auto"/>
            </w:pPr>
            <w:r>
              <w:rPr>
                <w:sz w:val="18"/>
              </w:rPr>
              <w:t>367</w:t>
            </w:r>
          </w:p>
        </w:tc>
        <w:tc>
          <w:tcPr>
            <w:tcW w:w="1860" w:type="dxa"/>
            <w:tcMar>
              <w:top w:w="0" w:type="dxa"/>
              <w:bottom w:w="0" w:type="dxa"/>
            </w:tcMar>
            <w:vAlign w:val="center"/>
          </w:tcPr>
          <w:p w14:paraId="38776569" w14:textId="77777777" w:rsidR="00B930BA" w:rsidRDefault="00000000">
            <w:pPr>
              <w:keepNext/>
              <w:keepLines/>
              <w:spacing w:after="0" w:line="240" w:lineRule="auto"/>
              <w:jc w:val="right"/>
            </w:pPr>
            <w:r>
              <w:rPr>
                <w:sz w:val="18"/>
              </w:rPr>
              <w:t>802.379,99</w:t>
            </w:r>
          </w:p>
        </w:tc>
        <w:tc>
          <w:tcPr>
            <w:tcW w:w="1860" w:type="dxa"/>
            <w:tcMar>
              <w:top w:w="0" w:type="dxa"/>
              <w:bottom w:w="0" w:type="dxa"/>
            </w:tcMar>
            <w:vAlign w:val="center"/>
          </w:tcPr>
          <w:p w14:paraId="577A41E3" w14:textId="77777777" w:rsidR="00B930BA" w:rsidRDefault="00000000">
            <w:pPr>
              <w:keepNext/>
              <w:keepLines/>
              <w:spacing w:after="0" w:line="240" w:lineRule="auto"/>
              <w:jc w:val="right"/>
            </w:pPr>
            <w:r>
              <w:rPr>
                <w:sz w:val="18"/>
              </w:rPr>
              <w:t>1.098.464,44</w:t>
            </w:r>
          </w:p>
        </w:tc>
        <w:tc>
          <w:tcPr>
            <w:tcW w:w="700" w:type="dxa"/>
            <w:tcMar>
              <w:top w:w="0" w:type="dxa"/>
              <w:bottom w:w="0" w:type="dxa"/>
            </w:tcMar>
            <w:vAlign w:val="center"/>
          </w:tcPr>
          <w:p w14:paraId="083E8C04" w14:textId="77777777" w:rsidR="00B930BA" w:rsidRDefault="00000000">
            <w:pPr>
              <w:keepNext/>
              <w:keepLines/>
              <w:spacing w:after="0" w:line="240" w:lineRule="auto"/>
              <w:jc w:val="right"/>
            </w:pPr>
            <w:r>
              <w:rPr>
                <w:sz w:val="18"/>
              </w:rPr>
              <w:t>136,9</w:t>
            </w:r>
          </w:p>
        </w:tc>
      </w:tr>
    </w:tbl>
    <w:p w14:paraId="047430BD" w14:textId="77777777" w:rsidR="00B930BA" w:rsidRDefault="00B930BA">
      <w:pPr>
        <w:spacing w:after="0"/>
      </w:pPr>
    </w:p>
    <w:p w14:paraId="787E7156" w14:textId="77777777" w:rsidR="00B930BA" w:rsidRDefault="00000000">
      <w:r>
        <w:t>Rashodi za navedene prijenose u razdoblju od 1. siječnja do 31. prosinca 2025. godine ostvareni su u iznosu od 1.098.464,44 €, odnosno 36,9 %  ili 296.084,45 € više u odnosu na isto razdoblje 2024. godine. Do povećanja unutar ove skupine rashoda došlo je zbog uvećanja rashoda za prijenose proračunskim korisnicima iz nadležnog proračuna za financiranje rashoda poslovanja za 38,0 % ili 300.584,45 €.</w:t>
      </w:r>
    </w:p>
    <w:p w14:paraId="25CEF6AA" w14:textId="77777777" w:rsidR="00B930BA" w:rsidRDefault="00B930BA"/>
    <w:p w14:paraId="0FD9AC81" w14:textId="77777777" w:rsidR="00B930BA"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1F00730" w14:textId="77777777">
        <w:trPr>
          <w:cantSplit/>
        </w:trPr>
        <w:tc>
          <w:tcPr>
            <w:tcW w:w="700" w:type="dxa"/>
            <w:shd w:val="clear" w:color="auto" w:fill="E7F0F9"/>
            <w:tcMar>
              <w:top w:w="0" w:type="dxa"/>
              <w:bottom w:w="0" w:type="dxa"/>
            </w:tcMar>
            <w:vAlign w:val="center"/>
          </w:tcPr>
          <w:p w14:paraId="2CBB950D"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51D270"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02EDCC"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69A684"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25F603"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5BA5B0" w14:textId="77777777" w:rsidR="00B930BA" w:rsidRDefault="00000000">
            <w:pPr>
              <w:keepNext/>
              <w:keepLines/>
              <w:spacing w:after="0" w:line="240" w:lineRule="auto"/>
              <w:jc w:val="center"/>
            </w:pPr>
            <w:r>
              <w:rPr>
                <w:b/>
                <w:sz w:val="18"/>
              </w:rPr>
              <w:t>Indeks (%)</w:t>
            </w:r>
          </w:p>
        </w:tc>
      </w:tr>
      <w:tr w:rsidR="00B930BA" w14:paraId="0C413E42" w14:textId="77777777">
        <w:trPr>
          <w:cantSplit/>
          <w:trHeight w:val="560"/>
        </w:trPr>
        <w:tc>
          <w:tcPr>
            <w:tcW w:w="700" w:type="dxa"/>
            <w:tcMar>
              <w:top w:w="0" w:type="dxa"/>
              <w:bottom w:w="0" w:type="dxa"/>
            </w:tcMar>
            <w:vAlign w:val="center"/>
          </w:tcPr>
          <w:p w14:paraId="60508365" w14:textId="77777777" w:rsidR="00B930BA" w:rsidRDefault="00000000">
            <w:pPr>
              <w:keepNext/>
              <w:keepLines/>
              <w:spacing w:after="0" w:line="240" w:lineRule="auto"/>
            </w:pPr>
            <w:r>
              <w:rPr>
                <w:sz w:val="18"/>
              </w:rPr>
              <w:t>372</w:t>
            </w:r>
          </w:p>
        </w:tc>
        <w:tc>
          <w:tcPr>
            <w:tcW w:w="3180" w:type="dxa"/>
            <w:tcMar>
              <w:top w:w="0" w:type="dxa"/>
              <w:bottom w:w="0" w:type="dxa"/>
            </w:tcMar>
            <w:vAlign w:val="center"/>
          </w:tcPr>
          <w:p w14:paraId="0BCD940F" w14:textId="77777777" w:rsidR="00B930BA"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68B5B92C" w14:textId="77777777" w:rsidR="00B930BA" w:rsidRDefault="00000000">
            <w:pPr>
              <w:keepNext/>
              <w:keepLines/>
              <w:spacing w:after="0" w:line="240" w:lineRule="auto"/>
            </w:pPr>
            <w:r>
              <w:rPr>
                <w:sz w:val="18"/>
              </w:rPr>
              <w:t>372</w:t>
            </w:r>
          </w:p>
        </w:tc>
        <w:tc>
          <w:tcPr>
            <w:tcW w:w="1860" w:type="dxa"/>
            <w:tcMar>
              <w:top w:w="0" w:type="dxa"/>
              <w:bottom w:w="0" w:type="dxa"/>
            </w:tcMar>
            <w:vAlign w:val="center"/>
          </w:tcPr>
          <w:p w14:paraId="1E8DAFE4" w14:textId="77777777" w:rsidR="00B930BA" w:rsidRDefault="00000000">
            <w:pPr>
              <w:keepNext/>
              <w:keepLines/>
              <w:spacing w:after="0" w:line="240" w:lineRule="auto"/>
              <w:jc w:val="right"/>
            </w:pPr>
            <w:r>
              <w:rPr>
                <w:sz w:val="18"/>
              </w:rPr>
              <w:t>184.029,02</w:t>
            </w:r>
          </w:p>
        </w:tc>
        <w:tc>
          <w:tcPr>
            <w:tcW w:w="1860" w:type="dxa"/>
            <w:tcMar>
              <w:top w:w="0" w:type="dxa"/>
              <w:bottom w:w="0" w:type="dxa"/>
            </w:tcMar>
            <w:vAlign w:val="center"/>
          </w:tcPr>
          <w:p w14:paraId="3CA18EAD" w14:textId="77777777" w:rsidR="00B930BA" w:rsidRDefault="00000000">
            <w:pPr>
              <w:keepNext/>
              <w:keepLines/>
              <w:spacing w:after="0" w:line="240" w:lineRule="auto"/>
              <w:jc w:val="right"/>
            </w:pPr>
            <w:r>
              <w:rPr>
                <w:sz w:val="18"/>
              </w:rPr>
              <w:t>219.396,78</w:t>
            </w:r>
          </w:p>
        </w:tc>
        <w:tc>
          <w:tcPr>
            <w:tcW w:w="700" w:type="dxa"/>
            <w:tcMar>
              <w:top w:w="0" w:type="dxa"/>
              <w:bottom w:w="0" w:type="dxa"/>
            </w:tcMar>
            <w:vAlign w:val="center"/>
          </w:tcPr>
          <w:p w14:paraId="1CEB5C51" w14:textId="77777777" w:rsidR="00B930BA" w:rsidRDefault="00000000">
            <w:pPr>
              <w:keepNext/>
              <w:keepLines/>
              <w:spacing w:after="0" w:line="240" w:lineRule="auto"/>
              <w:jc w:val="right"/>
            </w:pPr>
            <w:r>
              <w:rPr>
                <w:sz w:val="18"/>
              </w:rPr>
              <w:t>119,2</w:t>
            </w:r>
          </w:p>
        </w:tc>
      </w:tr>
    </w:tbl>
    <w:p w14:paraId="3DFE319C" w14:textId="77777777" w:rsidR="00B930BA" w:rsidRDefault="00B930BA">
      <w:pPr>
        <w:spacing w:after="0"/>
      </w:pPr>
    </w:p>
    <w:p w14:paraId="5BC1FA06" w14:textId="77777777" w:rsidR="00B930BA" w:rsidRDefault="00000000">
      <w:r>
        <w:t>Rashodi za ostale naknade građanima i kućanstvima od 1. siječnja do 31. prosinca 2025. godine ostvareni su u iznosu od 219.396,78 €, odnosno za 19,2 % ili 35.367,76 € više u odnosu na isto razdoblje 2024. godine. Na rast ove skupine rashoda utjecalo je uvećanje rashoda naknade građanima i kućanstvima u novcu i u naravi.</w:t>
      </w:r>
    </w:p>
    <w:p w14:paraId="3BA1958A" w14:textId="77777777" w:rsidR="00B930BA" w:rsidRDefault="00B930BA"/>
    <w:p w14:paraId="40F2B569" w14:textId="77777777" w:rsidR="00B930BA"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03FA279" w14:textId="77777777">
        <w:trPr>
          <w:cantSplit/>
        </w:trPr>
        <w:tc>
          <w:tcPr>
            <w:tcW w:w="700" w:type="dxa"/>
            <w:shd w:val="clear" w:color="auto" w:fill="E7F0F9"/>
            <w:tcMar>
              <w:top w:w="0" w:type="dxa"/>
              <w:bottom w:w="0" w:type="dxa"/>
            </w:tcMar>
            <w:vAlign w:val="center"/>
          </w:tcPr>
          <w:p w14:paraId="3A2654A9"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B8AB73A"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A4121F"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581864"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AC61BC"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2E45FD" w14:textId="77777777" w:rsidR="00B930BA" w:rsidRDefault="00000000">
            <w:pPr>
              <w:keepNext/>
              <w:keepLines/>
              <w:spacing w:after="0" w:line="240" w:lineRule="auto"/>
              <w:jc w:val="center"/>
            </w:pPr>
            <w:r>
              <w:rPr>
                <w:b/>
                <w:sz w:val="18"/>
              </w:rPr>
              <w:t>Indeks (%)</w:t>
            </w:r>
          </w:p>
        </w:tc>
      </w:tr>
      <w:tr w:rsidR="00B930BA" w14:paraId="13BDA1C2" w14:textId="77777777">
        <w:trPr>
          <w:cantSplit/>
          <w:trHeight w:val="560"/>
        </w:trPr>
        <w:tc>
          <w:tcPr>
            <w:tcW w:w="700" w:type="dxa"/>
            <w:tcMar>
              <w:top w:w="0" w:type="dxa"/>
              <w:bottom w:w="0" w:type="dxa"/>
            </w:tcMar>
            <w:vAlign w:val="center"/>
          </w:tcPr>
          <w:p w14:paraId="4448D233" w14:textId="77777777" w:rsidR="00B930BA" w:rsidRDefault="00000000">
            <w:pPr>
              <w:keepNext/>
              <w:keepLines/>
              <w:spacing w:after="0" w:line="240" w:lineRule="auto"/>
            </w:pPr>
            <w:r>
              <w:rPr>
                <w:sz w:val="18"/>
              </w:rPr>
              <w:t>381</w:t>
            </w:r>
          </w:p>
        </w:tc>
        <w:tc>
          <w:tcPr>
            <w:tcW w:w="3180" w:type="dxa"/>
            <w:tcMar>
              <w:top w:w="0" w:type="dxa"/>
              <w:bottom w:w="0" w:type="dxa"/>
            </w:tcMar>
            <w:vAlign w:val="center"/>
          </w:tcPr>
          <w:p w14:paraId="38B4CAFD" w14:textId="77777777" w:rsidR="00B930BA"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0ADC2B4C" w14:textId="77777777" w:rsidR="00B930BA" w:rsidRDefault="00000000">
            <w:pPr>
              <w:keepNext/>
              <w:keepLines/>
              <w:spacing w:after="0" w:line="240" w:lineRule="auto"/>
            </w:pPr>
            <w:r>
              <w:rPr>
                <w:sz w:val="18"/>
              </w:rPr>
              <w:t>381</w:t>
            </w:r>
          </w:p>
        </w:tc>
        <w:tc>
          <w:tcPr>
            <w:tcW w:w="1860" w:type="dxa"/>
            <w:tcMar>
              <w:top w:w="0" w:type="dxa"/>
              <w:bottom w:w="0" w:type="dxa"/>
            </w:tcMar>
            <w:vAlign w:val="center"/>
          </w:tcPr>
          <w:p w14:paraId="3B75BEDA" w14:textId="77777777" w:rsidR="00B930BA" w:rsidRDefault="00000000">
            <w:pPr>
              <w:keepNext/>
              <w:keepLines/>
              <w:spacing w:after="0" w:line="240" w:lineRule="auto"/>
              <w:jc w:val="right"/>
            </w:pPr>
            <w:r>
              <w:rPr>
                <w:sz w:val="18"/>
              </w:rPr>
              <w:t>439.924,71</w:t>
            </w:r>
          </w:p>
        </w:tc>
        <w:tc>
          <w:tcPr>
            <w:tcW w:w="1860" w:type="dxa"/>
            <w:tcMar>
              <w:top w:w="0" w:type="dxa"/>
              <w:bottom w:w="0" w:type="dxa"/>
            </w:tcMar>
            <w:vAlign w:val="center"/>
          </w:tcPr>
          <w:p w14:paraId="2F278C89" w14:textId="77777777" w:rsidR="00B930BA" w:rsidRDefault="00000000">
            <w:pPr>
              <w:keepNext/>
              <w:keepLines/>
              <w:spacing w:after="0" w:line="240" w:lineRule="auto"/>
              <w:jc w:val="right"/>
            </w:pPr>
            <w:r>
              <w:rPr>
                <w:sz w:val="18"/>
              </w:rPr>
              <w:t>632.435,74</w:t>
            </w:r>
          </w:p>
        </w:tc>
        <w:tc>
          <w:tcPr>
            <w:tcW w:w="700" w:type="dxa"/>
            <w:tcMar>
              <w:top w:w="0" w:type="dxa"/>
              <w:bottom w:w="0" w:type="dxa"/>
            </w:tcMar>
            <w:vAlign w:val="center"/>
          </w:tcPr>
          <w:p w14:paraId="1B47275B" w14:textId="77777777" w:rsidR="00B930BA" w:rsidRDefault="00000000">
            <w:pPr>
              <w:keepNext/>
              <w:keepLines/>
              <w:spacing w:after="0" w:line="240" w:lineRule="auto"/>
              <w:jc w:val="right"/>
            </w:pPr>
            <w:r>
              <w:rPr>
                <w:sz w:val="18"/>
              </w:rPr>
              <w:t>143,8</w:t>
            </w:r>
          </w:p>
        </w:tc>
      </w:tr>
    </w:tbl>
    <w:p w14:paraId="6CF33ED4" w14:textId="77777777" w:rsidR="00B930BA" w:rsidRDefault="00B930BA">
      <w:pPr>
        <w:spacing w:after="0"/>
      </w:pPr>
    </w:p>
    <w:p w14:paraId="4ABE436D" w14:textId="77777777" w:rsidR="00B930BA" w:rsidRDefault="00000000">
      <w:r>
        <w:t>Rashodi za tekuće donacije u razdoblju od 1. siječnja do 31. prosinca 2025. godine ostvareni su u iznosu od 632.435,74 €, odnosno 43,8 % ili 192.511,03 € više u odnosu na isto razdoblje 2024. godine. Do povećanja unutar ove skupine rashoda došlo je zbog uvećanja rashoda za Tekuće donacije u novcu.</w:t>
      </w:r>
    </w:p>
    <w:p w14:paraId="002D828B" w14:textId="77777777" w:rsidR="00B930BA" w:rsidRDefault="00B930BA"/>
    <w:p w14:paraId="6CF5CF15" w14:textId="77777777" w:rsidR="00B930BA"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3449451" w14:textId="77777777">
        <w:trPr>
          <w:cantSplit/>
        </w:trPr>
        <w:tc>
          <w:tcPr>
            <w:tcW w:w="700" w:type="dxa"/>
            <w:shd w:val="clear" w:color="auto" w:fill="E7F0F9"/>
            <w:tcMar>
              <w:top w:w="0" w:type="dxa"/>
              <w:bottom w:w="0" w:type="dxa"/>
            </w:tcMar>
            <w:vAlign w:val="center"/>
          </w:tcPr>
          <w:p w14:paraId="2D164880"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E81FB4"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1527FD"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ABE875"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19849"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3C02CF" w14:textId="77777777" w:rsidR="00B930BA" w:rsidRDefault="00000000">
            <w:pPr>
              <w:keepNext/>
              <w:keepLines/>
              <w:spacing w:after="0" w:line="240" w:lineRule="auto"/>
              <w:jc w:val="center"/>
            </w:pPr>
            <w:r>
              <w:rPr>
                <w:b/>
                <w:sz w:val="18"/>
              </w:rPr>
              <w:t>Indeks (%)</w:t>
            </w:r>
          </w:p>
        </w:tc>
      </w:tr>
      <w:tr w:rsidR="00B930BA" w14:paraId="4FEF4312" w14:textId="77777777">
        <w:trPr>
          <w:cantSplit/>
          <w:trHeight w:val="560"/>
        </w:trPr>
        <w:tc>
          <w:tcPr>
            <w:tcW w:w="700" w:type="dxa"/>
            <w:tcMar>
              <w:top w:w="0" w:type="dxa"/>
              <w:bottom w:w="0" w:type="dxa"/>
            </w:tcMar>
            <w:vAlign w:val="center"/>
          </w:tcPr>
          <w:p w14:paraId="58FACE73" w14:textId="77777777" w:rsidR="00B930BA" w:rsidRDefault="00000000">
            <w:pPr>
              <w:keepNext/>
              <w:keepLines/>
              <w:spacing w:after="0" w:line="240" w:lineRule="auto"/>
            </w:pPr>
            <w:r>
              <w:rPr>
                <w:sz w:val="18"/>
              </w:rPr>
              <w:t>386</w:t>
            </w:r>
          </w:p>
        </w:tc>
        <w:tc>
          <w:tcPr>
            <w:tcW w:w="3180" w:type="dxa"/>
            <w:tcMar>
              <w:top w:w="0" w:type="dxa"/>
              <w:bottom w:w="0" w:type="dxa"/>
            </w:tcMar>
            <w:vAlign w:val="center"/>
          </w:tcPr>
          <w:p w14:paraId="28CF089E" w14:textId="77777777" w:rsidR="00B930BA" w:rsidRDefault="00000000">
            <w:pPr>
              <w:keepNext/>
              <w:keepLines/>
              <w:spacing w:after="0" w:line="240" w:lineRule="auto"/>
            </w:pPr>
            <w:r>
              <w:rPr>
                <w:sz w:val="18"/>
              </w:rPr>
              <w:t>Kapitalne pomoći (šifre 3861 do 3865)</w:t>
            </w:r>
          </w:p>
        </w:tc>
        <w:tc>
          <w:tcPr>
            <w:tcW w:w="700" w:type="dxa"/>
            <w:tcMar>
              <w:top w:w="0" w:type="dxa"/>
              <w:bottom w:w="0" w:type="dxa"/>
            </w:tcMar>
            <w:vAlign w:val="center"/>
          </w:tcPr>
          <w:p w14:paraId="298A4C06" w14:textId="77777777" w:rsidR="00B930BA" w:rsidRDefault="00000000">
            <w:pPr>
              <w:keepNext/>
              <w:keepLines/>
              <w:spacing w:after="0" w:line="240" w:lineRule="auto"/>
            </w:pPr>
            <w:r>
              <w:rPr>
                <w:sz w:val="18"/>
              </w:rPr>
              <w:t>386</w:t>
            </w:r>
          </w:p>
        </w:tc>
        <w:tc>
          <w:tcPr>
            <w:tcW w:w="1860" w:type="dxa"/>
            <w:tcMar>
              <w:top w:w="0" w:type="dxa"/>
              <w:bottom w:w="0" w:type="dxa"/>
            </w:tcMar>
            <w:vAlign w:val="center"/>
          </w:tcPr>
          <w:p w14:paraId="3993459E" w14:textId="77777777" w:rsidR="00B930BA" w:rsidRDefault="00000000">
            <w:pPr>
              <w:keepNext/>
              <w:keepLines/>
              <w:spacing w:after="0" w:line="240" w:lineRule="auto"/>
              <w:jc w:val="right"/>
            </w:pPr>
            <w:r>
              <w:rPr>
                <w:sz w:val="18"/>
              </w:rPr>
              <w:t>17.374,75</w:t>
            </w:r>
          </w:p>
        </w:tc>
        <w:tc>
          <w:tcPr>
            <w:tcW w:w="1860" w:type="dxa"/>
            <w:tcMar>
              <w:top w:w="0" w:type="dxa"/>
              <w:bottom w:w="0" w:type="dxa"/>
            </w:tcMar>
            <w:vAlign w:val="center"/>
          </w:tcPr>
          <w:p w14:paraId="61E28428" w14:textId="77777777" w:rsidR="00B930BA" w:rsidRDefault="00000000">
            <w:pPr>
              <w:keepNext/>
              <w:keepLines/>
              <w:spacing w:after="0" w:line="240" w:lineRule="auto"/>
              <w:jc w:val="right"/>
            </w:pPr>
            <w:r>
              <w:rPr>
                <w:sz w:val="18"/>
              </w:rPr>
              <w:t>6.777,53</w:t>
            </w:r>
          </w:p>
        </w:tc>
        <w:tc>
          <w:tcPr>
            <w:tcW w:w="700" w:type="dxa"/>
            <w:tcMar>
              <w:top w:w="0" w:type="dxa"/>
              <w:bottom w:w="0" w:type="dxa"/>
            </w:tcMar>
            <w:vAlign w:val="center"/>
          </w:tcPr>
          <w:p w14:paraId="49F4D07E" w14:textId="77777777" w:rsidR="00B930BA" w:rsidRDefault="00000000">
            <w:pPr>
              <w:keepNext/>
              <w:keepLines/>
              <w:spacing w:after="0" w:line="240" w:lineRule="auto"/>
              <w:jc w:val="right"/>
            </w:pPr>
            <w:r>
              <w:rPr>
                <w:sz w:val="18"/>
              </w:rPr>
              <w:t>39,0</w:t>
            </w:r>
          </w:p>
        </w:tc>
      </w:tr>
    </w:tbl>
    <w:p w14:paraId="28ECE674" w14:textId="77777777" w:rsidR="00B930BA" w:rsidRDefault="00B930BA">
      <w:pPr>
        <w:spacing w:after="0"/>
      </w:pPr>
    </w:p>
    <w:p w14:paraId="2351AC9C" w14:textId="77777777" w:rsidR="00B930BA" w:rsidRDefault="00000000">
      <w:r>
        <w:t>Rashodi za kapitalne pomoći u razdoblju od 1. siječnja do 31. prosinca 2025. godine ostvareni su u iznosu od 6.777,53 € odnosno 61,0 % ili 10.97,22 € manje u odnosu na isto razdoblje 2024. godine, a rashodi se odnose na rashode za kapitalne pomoći trgovačkim društvima u javnom sektoru.</w:t>
      </w:r>
    </w:p>
    <w:p w14:paraId="0F57A68E" w14:textId="77777777" w:rsidR="00B930BA" w:rsidRDefault="00B930BA"/>
    <w:p w14:paraId="309D4CCF" w14:textId="77777777" w:rsidR="00B930BA"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80B8248" w14:textId="77777777">
        <w:trPr>
          <w:cantSplit/>
        </w:trPr>
        <w:tc>
          <w:tcPr>
            <w:tcW w:w="700" w:type="dxa"/>
            <w:shd w:val="clear" w:color="auto" w:fill="E7F0F9"/>
            <w:tcMar>
              <w:top w:w="0" w:type="dxa"/>
              <w:bottom w:w="0" w:type="dxa"/>
            </w:tcMar>
            <w:vAlign w:val="center"/>
          </w:tcPr>
          <w:p w14:paraId="1D987605"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F468F7"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6BD30D"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8C755D"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7F29E2"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768650" w14:textId="77777777" w:rsidR="00B930BA" w:rsidRDefault="00000000">
            <w:pPr>
              <w:keepNext/>
              <w:keepLines/>
              <w:spacing w:after="0" w:line="240" w:lineRule="auto"/>
              <w:jc w:val="center"/>
            </w:pPr>
            <w:r>
              <w:rPr>
                <w:b/>
                <w:sz w:val="18"/>
              </w:rPr>
              <w:t>Indeks (%)</w:t>
            </w:r>
          </w:p>
        </w:tc>
      </w:tr>
      <w:tr w:rsidR="00B930BA" w14:paraId="6040B932" w14:textId="77777777">
        <w:trPr>
          <w:cantSplit/>
          <w:trHeight w:val="560"/>
        </w:trPr>
        <w:tc>
          <w:tcPr>
            <w:tcW w:w="700" w:type="dxa"/>
            <w:tcMar>
              <w:top w:w="0" w:type="dxa"/>
              <w:bottom w:w="0" w:type="dxa"/>
            </w:tcMar>
            <w:vAlign w:val="center"/>
          </w:tcPr>
          <w:p w14:paraId="5C91C81D" w14:textId="77777777" w:rsidR="00B930BA" w:rsidRDefault="00000000">
            <w:pPr>
              <w:keepNext/>
              <w:keepLines/>
              <w:spacing w:after="0" w:line="240" w:lineRule="auto"/>
            </w:pPr>
            <w:r>
              <w:rPr>
                <w:sz w:val="18"/>
              </w:rPr>
              <w:t>7</w:t>
            </w:r>
          </w:p>
        </w:tc>
        <w:tc>
          <w:tcPr>
            <w:tcW w:w="3180" w:type="dxa"/>
            <w:tcMar>
              <w:top w:w="0" w:type="dxa"/>
              <w:bottom w:w="0" w:type="dxa"/>
            </w:tcMar>
            <w:vAlign w:val="center"/>
          </w:tcPr>
          <w:p w14:paraId="5FB6F712" w14:textId="77777777" w:rsidR="00B930BA"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9315505" w14:textId="77777777" w:rsidR="00B930BA" w:rsidRDefault="00000000">
            <w:pPr>
              <w:keepNext/>
              <w:keepLines/>
              <w:spacing w:after="0" w:line="240" w:lineRule="auto"/>
            </w:pPr>
            <w:r>
              <w:rPr>
                <w:sz w:val="18"/>
              </w:rPr>
              <w:t>7</w:t>
            </w:r>
          </w:p>
        </w:tc>
        <w:tc>
          <w:tcPr>
            <w:tcW w:w="1860" w:type="dxa"/>
            <w:tcMar>
              <w:top w:w="0" w:type="dxa"/>
              <w:bottom w:w="0" w:type="dxa"/>
            </w:tcMar>
            <w:vAlign w:val="center"/>
          </w:tcPr>
          <w:p w14:paraId="44974E5F" w14:textId="77777777" w:rsidR="00B930BA" w:rsidRDefault="00000000">
            <w:pPr>
              <w:keepNext/>
              <w:keepLines/>
              <w:spacing w:after="0" w:line="240" w:lineRule="auto"/>
              <w:jc w:val="right"/>
            </w:pPr>
            <w:r>
              <w:rPr>
                <w:sz w:val="18"/>
              </w:rPr>
              <w:t>380.360,85</w:t>
            </w:r>
          </w:p>
        </w:tc>
        <w:tc>
          <w:tcPr>
            <w:tcW w:w="1860" w:type="dxa"/>
            <w:tcMar>
              <w:top w:w="0" w:type="dxa"/>
              <w:bottom w:w="0" w:type="dxa"/>
            </w:tcMar>
            <w:vAlign w:val="center"/>
          </w:tcPr>
          <w:p w14:paraId="7BA67D22" w14:textId="77777777" w:rsidR="00B930BA" w:rsidRDefault="00000000">
            <w:pPr>
              <w:keepNext/>
              <w:keepLines/>
              <w:spacing w:after="0" w:line="240" w:lineRule="auto"/>
              <w:jc w:val="right"/>
            </w:pPr>
            <w:r>
              <w:rPr>
                <w:sz w:val="18"/>
              </w:rPr>
              <w:t>183.093,54</w:t>
            </w:r>
          </w:p>
        </w:tc>
        <w:tc>
          <w:tcPr>
            <w:tcW w:w="700" w:type="dxa"/>
            <w:tcMar>
              <w:top w:w="0" w:type="dxa"/>
              <w:bottom w:w="0" w:type="dxa"/>
            </w:tcMar>
            <w:vAlign w:val="center"/>
          </w:tcPr>
          <w:p w14:paraId="3D1B6D66" w14:textId="77777777" w:rsidR="00B930BA" w:rsidRDefault="00000000">
            <w:pPr>
              <w:keepNext/>
              <w:keepLines/>
              <w:spacing w:after="0" w:line="240" w:lineRule="auto"/>
              <w:jc w:val="right"/>
            </w:pPr>
            <w:r>
              <w:rPr>
                <w:sz w:val="18"/>
              </w:rPr>
              <w:t>48,1</w:t>
            </w:r>
          </w:p>
        </w:tc>
      </w:tr>
    </w:tbl>
    <w:p w14:paraId="2E0D9685" w14:textId="77777777" w:rsidR="00B930BA" w:rsidRDefault="00B930BA">
      <w:pPr>
        <w:spacing w:after="0"/>
      </w:pPr>
    </w:p>
    <w:p w14:paraId="5A54409C" w14:textId="77777777" w:rsidR="00B930BA" w:rsidRDefault="00000000">
      <w:r>
        <w:t>Prihodi od prodaje nefinancijske imovine u razdoblju od 1. siječnja do 31. prosinca 2025. godine ostvareni su u iznosu od 183.093,54 €, odnosno 51,9 % ili 197.267,31 € manje u odnosu na isto razdoblje 2024. godine. Na pad prihoda je utjecalo manje ostvarenje prihoda od prodaje materijalne imovine - prirodnih bogatstava, odnosno zemljišta.</w:t>
      </w:r>
    </w:p>
    <w:p w14:paraId="6D3F87C5" w14:textId="77777777" w:rsidR="00B930BA" w:rsidRDefault="00B930BA"/>
    <w:p w14:paraId="39488E5F" w14:textId="77777777" w:rsidR="00B930BA"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D7C4B61" w14:textId="77777777">
        <w:trPr>
          <w:cantSplit/>
        </w:trPr>
        <w:tc>
          <w:tcPr>
            <w:tcW w:w="700" w:type="dxa"/>
            <w:shd w:val="clear" w:color="auto" w:fill="E7F0F9"/>
            <w:tcMar>
              <w:top w:w="0" w:type="dxa"/>
              <w:bottom w:w="0" w:type="dxa"/>
            </w:tcMar>
            <w:vAlign w:val="center"/>
          </w:tcPr>
          <w:p w14:paraId="2F8AAB7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E04BEB"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CD5ADA"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232700"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9C019F"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F6E357" w14:textId="77777777" w:rsidR="00B930BA" w:rsidRDefault="00000000">
            <w:pPr>
              <w:keepNext/>
              <w:keepLines/>
              <w:spacing w:after="0" w:line="240" w:lineRule="auto"/>
              <w:jc w:val="center"/>
            </w:pPr>
            <w:r>
              <w:rPr>
                <w:b/>
                <w:sz w:val="18"/>
              </w:rPr>
              <w:t>Indeks (%)</w:t>
            </w:r>
          </w:p>
        </w:tc>
      </w:tr>
      <w:tr w:rsidR="00B930BA" w14:paraId="59244432" w14:textId="77777777">
        <w:trPr>
          <w:cantSplit/>
          <w:trHeight w:val="560"/>
        </w:trPr>
        <w:tc>
          <w:tcPr>
            <w:tcW w:w="700" w:type="dxa"/>
            <w:tcMar>
              <w:top w:w="0" w:type="dxa"/>
              <w:bottom w:w="0" w:type="dxa"/>
            </w:tcMar>
            <w:vAlign w:val="center"/>
          </w:tcPr>
          <w:p w14:paraId="2464D315" w14:textId="77777777" w:rsidR="00B930BA" w:rsidRDefault="00000000">
            <w:pPr>
              <w:keepNext/>
              <w:keepLines/>
              <w:spacing w:after="0" w:line="240" w:lineRule="auto"/>
            </w:pPr>
            <w:r>
              <w:rPr>
                <w:sz w:val="18"/>
              </w:rPr>
              <w:t>711</w:t>
            </w:r>
          </w:p>
        </w:tc>
        <w:tc>
          <w:tcPr>
            <w:tcW w:w="3180" w:type="dxa"/>
            <w:tcMar>
              <w:top w:w="0" w:type="dxa"/>
              <w:bottom w:w="0" w:type="dxa"/>
            </w:tcMar>
            <w:vAlign w:val="center"/>
          </w:tcPr>
          <w:p w14:paraId="4B02966F" w14:textId="77777777" w:rsidR="00B930BA" w:rsidRDefault="00000000">
            <w:pPr>
              <w:keepNext/>
              <w:keepLines/>
              <w:spacing w:after="0" w:line="240" w:lineRule="auto"/>
            </w:pPr>
            <w:r>
              <w:rPr>
                <w:sz w:val="18"/>
              </w:rPr>
              <w:t>Prihodi od prodaje materijalne imovine - prirodnih bogatstava (šifre 7111 do 7113)</w:t>
            </w:r>
          </w:p>
        </w:tc>
        <w:tc>
          <w:tcPr>
            <w:tcW w:w="700" w:type="dxa"/>
            <w:tcMar>
              <w:top w:w="0" w:type="dxa"/>
              <w:bottom w:w="0" w:type="dxa"/>
            </w:tcMar>
            <w:vAlign w:val="center"/>
          </w:tcPr>
          <w:p w14:paraId="3D51F6F1" w14:textId="77777777" w:rsidR="00B930BA" w:rsidRDefault="00000000">
            <w:pPr>
              <w:keepNext/>
              <w:keepLines/>
              <w:spacing w:after="0" w:line="240" w:lineRule="auto"/>
            </w:pPr>
            <w:r>
              <w:rPr>
                <w:sz w:val="18"/>
              </w:rPr>
              <w:t>711</w:t>
            </w:r>
          </w:p>
        </w:tc>
        <w:tc>
          <w:tcPr>
            <w:tcW w:w="1860" w:type="dxa"/>
            <w:tcMar>
              <w:top w:w="0" w:type="dxa"/>
              <w:bottom w:w="0" w:type="dxa"/>
            </w:tcMar>
            <w:vAlign w:val="center"/>
          </w:tcPr>
          <w:p w14:paraId="0C7B547E" w14:textId="77777777" w:rsidR="00B930BA" w:rsidRDefault="00000000">
            <w:pPr>
              <w:keepNext/>
              <w:keepLines/>
              <w:spacing w:after="0" w:line="240" w:lineRule="auto"/>
              <w:jc w:val="right"/>
            </w:pPr>
            <w:r>
              <w:rPr>
                <w:sz w:val="18"/>
              </w:rPr>
              <w:t>375.625,22</w:t>
            </w:r>
          </w:p>
        </w:tc>
        <w:tc>
          <w:tcPr>
            <w:tcW w:w="1860" w:type="dxa"/>
            <w:tcMar>
              <w:top w:w="0" w:type="dxa"/>
              <w:bottom w:w="0" w:type="dxa"/>
            </w:tcMar>
            <w:vAlign w:val="center"/>
          </w:tcPr>
          <w:p w14:paraId="7265308D" w14:textId="77777777" w:rsidR="00B930BA" w:rsidRDefault="00000000">
            <w:pPr>
              <w:keepNext/>
              <w:keepLines/>
              <w:spacing w:after="0" w:line="240" w:lineRule="auto"/>
              <w:jc w:val="right"/>
            </w:pPr>
            <w:r>
              <w:rPr>
                <w:sz w:val="18"/>
              </w:rPr>
              <w:t>183.093,54</w:t>
            </w:r>
          </w:p>
        </w:tc>
        <w:tc>
          <w:tcPr>
            <w:tcW w:w="700" w:type="dxa"/>
            <w:tcMar>
              <w:top w:w="0" w:type="dxa"/>
              <w:bottom w:w="0" w:type="dxa"/>
            </w:tcMar>
            <w:vAlign w:val="center"/>
          </w:tcPr>
          <w:p w14:paraId="2F0475B4" w14:textId="77777777" w:rsidR="00B930BA" w:rsidRDefault="00000000">
            <w:pPr>
              <w:keepNext/>
              <w:keepLines/>
              <w:spacing w:after="0" w:line="240" w:lineRule="auto"/>
              <w:jc w:val="right"/>
            </w:pPr>
            <w:r>
              <w:rPr>
                <w:sz w:val="18"/>
              </w:rPr>
              <w:t>48,7</w:t>
            </w:r>
          </w:p>
        </w:tc>
      </w:tr>
    </w:tbl>
    <w:p w14:paraId="5F5908C8" w14:textId="77777777" w:rsidR="00B930BA" w:rsidRDefault="00B930BA">
      <w:pPr>
        <w:spacing w:after="0"/>
      </w:pPr>
    </w:p>
    <w:p w14:paraId="75B2B998" w14:textId="77777777" w:rsidR="00B930BA" w:rsidRDefault="00000000">
      <w:r>
        <w:t>Prihodi od prodaje materijalne imovine u razdoblju od 1. siječnja do 31. prosinca  2025. godine ostvareni su u iznosu od 183.093,54 €, odnosno 51,9 % ili 197.267,31 € manje u odnosu na isto razdoblje 2024. godine. Na smanjenje prihoda je utjecalo umanjenje prihoda od prodaje poljoprivrednih i građevinskih zemljišta.</w:t>
      </w:r>
    </w:p>
    <w:p w14:paraId="6486ED5C" w14:textId="77777777" w:rsidR="00B930BA" w:rsidRDefault="00B930BA"/>
    <w:p w14:paraId="274CC70D" w14:textId="77777777" w:rsidR="00B930BA"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6A590D4" w14:textId="77777777">
        <w:trPr>
          <w:cantSplit/>
        </w:trPr>
        <w:tc>
          <w:tcPr>
            <w:tcW w:w="700" w:type="dxa"/>
            <w:shd w:val="clear" w:color="auto" w:fill="E7F0F9"/>
            <w:tcMar>
              <w:top w:w="0" w:type="dxa"/>
              <w:bottom w:w="0" w:type="dxa"/>
            </w:tcMar>
            <w:vAlign w:val="center"/>
          </w:tcPr>
          <w:p w14:paraId="477D156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AA64BD"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E75E1C"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121B88"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B7158F"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9C2F108" w14:textId="77777777" w:rsidR="00B930BA" w:rsidRDefault="00000000">
            <w:pPr>
              <w:keepNext/>
              <w:keepLines/>
              <w:spacing w:after="0" w:line="240" w:lineRule="auto"/>
              <w:jc w:val="center"/>
            </w:pPr>
            <w:r>
              <w:rPr>
                <w:b/>
                <w:sz w:val="18"/>
              </w:rPr>
              <w:t>Indeks (%)</w:t>
            </w:r>
          </w:p>
        </w:tc>
      </w:tr>
      <w:tr w:rsidR="00B930BA" w14:paraId="222E593A" w14:textId="77777777">
        <w:trPr>
          <w:cantSplit/>
          <w:trHeight w:val="560"/>
        </w:trPr>
        <w:tc>
          <w:tcPr>
            <w:tcW w:w="700" w:type="dxa"/>
            <w:tcMar>
              <w:top w:w="0" w:type="dxa"/>
              <w:bottom w:w="0" w:type="dxa"/>
            </w:tcMar>
            <w:vAlign w:val="center"/>
          </w:tcPr>
          <w:p w14:paraId="28B1F573" w14:textId="77777777" w:rsidR="00B930BA" w:rsidRDefault="00000000">
            <w:pPr>
              <w:keepNext/>
              <w:keepLines/>
              <w:spacing w:after="0" w:line="240" w:lineRule="auto"/>
            </w:pPr>
            <w:r>
              <w:rPr>
                <w:sz w:val="18"/>
              </w:rPr>
              <w:t>4</w:t>
            </w:r>
          </w:p>
        </w:tc>
        <w:tc>
          <w:tcPr>
            <w:tcW w:w="3180" w:type="dxa"/>
            <w:tcMar>
              <w:top w:w="0" w:type="dxa"/>
              <w:bottom w:w="0" w:type="dxa"/>
            </w:tcMar>
            <w:vAlign w:val="center"/>
          </w:tcPr>
          <w:p w14:paraId="4E220DD9" w14:textId="77777777" w:rsidR="00B930BA"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B7A2C34" w14:textId="77777777" w:rsidR="00B930BA" w:rsidRDefault="00000000">
            <w:pPr>
              <w:keepNext/>
              <w:keepLines/>
              <w:spacing w:after="0" w:line="240" w:lineRule="auto"/>
            </w:pPr>
            <w:r>
              <w:rPr>
                <w:sz w:val="18"/>
              </w:rPr>
              <w:t>4</w:t>
            </w:r>
          </w:p>
        </w:tc>
        <w:tc>
          <w:tcPr>
            <w:tcW w:w="1860" w:type="dxa"/>
            <w:tcMar>
              <w:top w:w="0" w:type="dxa"/>
              <w:bottom w:w="0" w:type="dxa"/>
            </w:tcMar>
            <w:vAlign w:val="center"/>
          </w:tcPr>
          <w:p w14:paraId="68FE8FB8" w14:textId="77777777" w:rsidR="00B930BA" w:rsidRDefault="00000000">
            <w:pPr>
              <w:keepNext/>
              <w:keepLines/>
              <w:spacing w:after="0" w:line="240" w:lineRule="auto"/>
              <w:jc w:val="right"/>
            </w:pPr>
            <w:r>
              <w:rPr>
                <w:sz w:val="18"/>
              </w:rPr>
              <w:t>485.179,46</w:t>
            </w:r>
          </w:p>
        </w:tc>
        <w:tc>
          <w:tcPr>
            <w:tcW w:w="1860" w:type="dxa"/>
            <w:tcMar>
              <w:top w:w="0" w:type="dxa"/>
              <w:bottom w:w="0" w:type="dxa"/>
            </w:tcMar>
            <w:vAlign w:val="center"/>
          </w:tcPr>
          <w:p w14:paraId="08DC74F7" w14:textId="77777777" w:rsidR="00B930BA" w:rsidRDefault="00000000">
            <w:pPr>
              <w:keepNext/>
              <w:keepLines/>
              <w:spacing w:after="0" w:line="240" w:lineRule="auto"/>
              <w:jc w:val="right"/>
            </w:pPr>
            <w:r>
              <w:rPr>
                <w:sz w:val="18"/>
              </w:rPr>
              <w:t>807.159,47</w:t>
            </w:r>
          </w:p>
        </w:tc>
        <w:tc>
          <w:tcPr>
            <w:tcW w:w="700" w:type="dxa"/>
            <w:tcMar>
              <w:top w:w="0" w:type="dxa"/>
              <w:bottom w:w="0" w:type="dxa"/>
            </w:tcMar>
            <w:vAlign w:val="center"/>
          </w:tcPr>
          <w:p w14:paraId="0C7FE985" w14:textId="77777777" w:rsidR="00B930BA" w:rsidRDefault="00000000">
            <w:pPr>
              <w:keepNext/>
              <w:keepLines/>
              <w:spacing w:after="0" w:line="240" w:lineRule="auto"/>
              <w:jc w:val="right"/>
            </w:pPr>
            <w:r>
              <w:rPr>
                <w:sz w:val="18"/>
              </w:rPr>
              <w:t>166,4</w:t>
            </w:r>
          </w:p>
        </w:tc>
      </w:tr>
    </w:tbl>
    <w:p w14:paraId="6721CB9A" w14:textId="77777777" w:rsidR="00B930BA" w:rsidRDefault="00B930BA">
      <w:pPr>
        <w:spacing w:after="0"/>
      </w:pPr>
    </w:p>
    <w:p w14:paraId="168CC25E" w14:textId="77777777" w:rsidR="00B930BA" w:rsidRDefault="00000000">
      <w:r>
        <w:t>Rashodi za nabavu nefinancijske imovine u razdoblju od 1. siječnja do 31. prosinca 2025. godine ostvareni su u iznosu od 807.159,47 €, odnosno 66,4 % ili 321.980,01 € više u odnosu na isto razdoblje 2024. godine. Povećanje rashoda bilježe pozicije unutar skupine rashoda za nabavu proizvedene dugotrajne imovine.</w:t>
      </w:r>
    </w:p>
    <w:p w14:paraId="31094772" w14:textId="77777777" w:rsidR="00B930BA" w:rsidRDefault="00B930BA"/>
    <w:p w14:paraId="4C06BC33" w14:textId="77777777" w:rsidR="00B930BA"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47EE1E09" w14:textId="77777777">
        <w:trPr>
          <w:cantSplit/>
        </w:trPr>
        <w:tc>
          <w:tcPr>
            <w:tcW w:w="700" w:type="dxa"/>
            <w:shd w:val="clear" w:color="auto" w:fill="E7F0F9"/>
            <w:tcMar>
              <w:top w:w="0" w:type="dxa"/>
              <w:bottom w:w="0" w:type="dxa"/>
            </w:tcMar>
            <w:vAlign w:val="center"/>
          </w:tcPr>
          <w:p w14:paraId="396EDDEC"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448810"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24CC23"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B86483"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F4AA91"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404042" w14:textId="77777777" w:rsidR="00B930BA" w:rsidRDefault="00000000">
            <w:pPr>
              <w:keepNext/>
              <w:keepLines/>
              <w:spacing w:after="0" w:line="240" w:lineRule="auto"/>
              <w:jc w:val="center"/>
            </w:pPr>
            <w:r>
              <w:rPr>
                <w:b/>
                <w:sz w:val="18"/>
              </w:rPr>
              <w:t>Indeks (%)</w:t>
            </w:r>
          </w:p>
        </w:tc>
      </w:tr>
      <w:tr w:rsidR="00B930BA" w14:paraId="22B59396" w14:textId="77777777">
        <w:trPr>
          <w:cantSplit/>
          <w:trHeight w:val="560"/>
        </w:trPr>
        <w:tc>
          <w:tcPr>
            <w:tcW w:w="700" w:type="dxa"/>
            <w:tcMar>
              <w:top w:w="0" w:type="dxa"/>
              <w:bottom w:w="0" w:type="dxa"/>
            </w:tcMar>
            <w:vAlign w:val="center"/>
          </w:tcPr>
          <w:p w14:paraId="15031511" w14:textId="77777777" w:rsidR="00B930BA" w:rsidRDefault="00000000">
            <w:pPr>
              <w:keepNext/>
              <w:keepLines/>
              <w:spacing w:after="0" w:line="240" w:lineRule="auto"/>
            </w:pPr>
            <w:r>
              <w:rPr>
                <w:sz w:val="18"/>
              </w:rPr>
              <w:t>421</w:t>
            </w:r>
          </w:p>
        </w:tc>
        <w:tc>
          <w:tcPr>
            <w:tcW w:w="3180" w:type="dxa"/>
            <w:tcMar>
              <w:top w:w="0" w:type="dxa"/>
              <w:bottom w:w="0" w:type="dxa"/>
            </w:tcMar>
            <w:vAlign w:val="center"/>
          </w:tcPr>
          <w:p w14:paraId="324BDFD4" w14:textId="77777777" w:rsidR="00B930BA"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23D699C4" w14:textId="77777777" w:rsidR="00B930BA" w:rsidRDefault="00000000">
            <w:pPr>
              <w:keepNext/>
              <w:keepLines/>
              <w:spacing w:after="0" w:line="240" w:lineRule="auto"/>
            </w:pPr>
            <w:r>
              <w:rPr>
                <w:sz w:val="18"/>
              </w:rPr>
              <w:t>421</w:t>
            </w:r>
          </w:p>
        </w:tc>
        <w:tc>
          <w:tcPr>
            <w:tcW w:w="1860" w:type="dxa"/>
            <w:tcMar>
              <w:top w:w="0" w:type="dxa"/>
              <w:bottom w:w="0" w:type="dxa"/>
            </w:tcMar>
            <w:vAlign w:val="center"/>
          </w:tcPr>
          <w:p w14:paraId="7AD5AE32" w14:textId="77777777" w:rsidR="00B930BA" w:rsidRDefault="00000000">
            <w:pPr>
              <w:keepNext/>
              <w:keepLines/>
              <w:spacing w:after="0" w:line="240" w:lineRule="auto"/>
              <w:jc w:val="right"/>
            </w:pPr>
            <w:r>
              <w:rPr>
                <w:sz w:val="18"/>
              </w:rPr>
              <w:t>224.337,87</w:t>
            </w:r>
          </w:p>
        </w:tc>
        <w:tc>
          <w:tcPr>
            <w:tcW w:w="1860" w:type="dxa"/>
            <w:tcMar>
              <w:top w:w="0" w:type="dxa"/>
              <w:bottom w:w="0" w:type="dxa"/>
            </w:tcMar>
            <w:vAlign w:val="center"/>
          </w:tcPr>
          <w:p w14:paraId="7288A4A1" w14:textId="77777777" w:rsidR="00B930BA" w:rsidRDefault="00000000">
            <w:pPr>
              <w:keepNext/>
              <w:keepLines/>
              <w:spacing w:after="0" w:line="240" w:lineRule="auto"/>
              <w:jc w:val="right"/>
            </w:pPr>
            <w:r>
              <w:rPr>
                <w:sz w:val="18"/>
              </w:rPr>
              <w:t>661.437,09</w:t>
            </w:r>
          </w:p>
        </w:tc>
        <w:tc>
          <w:tcPr>
            <w:tcW w:w="700" w:type="dxa"/>
            <w:tcMar>
              <w:top w:w="0" w:type="dxa"/>
              <w:bottom w:w="0" w:type="dxa"/>
            </w:tcMar>
            <w:vAlign w:val="center"/>
          </w:tcPr>
          <w:p w14:paraId="7F20A70D" w14:textId="77777777" w:rsidR="00B930BA" w:rsidRDefault="00000000">
            <w:pPr>
              <w:keepNext/>
              <w:keepLines/>
              <w:spacing w:after="0" w:line="240" w:lineRule="auto"/>
              <w:jc w:val="right"/>
            </w:pPr>
            <w:r>
              <w:rPr>
                <w:sz w:val="18"/>
              </w:rPr>
              <w:t>294,8</w:t>
            </w:r>
          </w:p>
        </w:tc>
      </w:tr>
    </w:tbl>
    <w:p w14:paraId="2AEBB0B1" w14:textId="77777777" w:rsidR="00B930BA" w:rsidRDefault="00B930BA">
      <w:pPr>
        <w:spacing w:after="0"/>
      </w:pPr>
    </w:p>
    <w:p w14:paraId="2EE64FEB" w14:textId="77777777" w:rsidR="00B930BA" w:rsidRDefault="00000000">
      <w:r>
        <w:t>Od 1. siječnja do 31. prosinca 2025. godine ostvareni su rashodi u iznosu od 661.437,09 €, odnosno 194,8 % ili 437.099,22 € više u odnosu na isto razdoblje 2024. godine. Do povećanja unutar ove skupine rashoda došlo je uslijed povećanja rashoda za poslovne objekte (144,8 % ili 165.565,17 €), ceste (305,8% ili 259.890,88 €) i ostale građevinske objekte (46,5 % ili 11.643,17 €).</w:t>
      </w:r>
    </w:p>
    <w:p w14:paraId="5494A723" w14:textId="77777777" w:rsidR="00B930BA" w:rsidRDefault="00B930BA"/>
    <w:p w14:paraId="65DCCF77" w14:textId="77777777" w:rsidR="00B930BA"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C6DC107" w14:textId="77777777">
        <w:trPr>
          <w:cantSplit/>
        </w:trPr>
        <w:tc>
          <w:tcPr>
            <w:tcW w:w="700" w:type="dxa"/>
            <w:shd w:val="clear" w:color="auto" w:fill="E7F0F9"/>
            <w:tcMar>
              <w:top w:w="0" w:type="dxa"/>
              <w:bottom w:w="0" w:type="dxa"/>
            </w:tcMar>
            <w:vAlign w:val="center"/>
          </w:tcPr>
          <w:p w14:paraId="630FFBB1"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37B1FA"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B3CD9D"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E3DB5F"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63B576"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354391" w14:textId="77777777" w:rsidR="00B930BA" w:rsidRDefault="00000000">
            <w:pPr>
              <w:keepNext/>
              <w:keepLines/>
              <w:spacing w:after="0" w:line="240" w:lineRule="auto"/>
              <w:jc w:val="center"/>
            </w:pPr>
            <w:r>
              <w:rPr>
                <w:b/>
                <w:sz w:val="18"/>
              </w:rPr>
              <w:t>Indeks (%)</w:t>
            </w:r>
          </w:p>
        </w:tc>
      </w:tr>
      <w:tr w:rsidR="00B930BA" w14:paraId="69507EBD" w14:textId="77777777">
        <w:trPr>
          <w:cantSplit/>
          <w:trHeight w:val="560"/>
        </w:trPr>
        <w:tc>
          <w:tcPr>
            <w:tcW w:w="700" w:type="dxa"/>
            <w:tcMar>
              <w:top w:w="0" w:type="dxa"/>
              <w:bottom w:w="0" w:type="dxa"/>
            </w:tcMar>
            <w:vAlign w:val="center"/>
          </w:tcPr>
          <w:p w14:paraId="199321F5" w14:textId="77777777" w:rsidR="00B930BA" w:rsidRDefault="00000000">
            <w:pPr>
              <w:keepNext/>
              <w:keepLines/>
              <w:spacing w:after="0" w:line="240" w:lineRule="auto"/>
            </w:pPr>
            <w:r>
              <w:rPr>
                <w:sz w:val="18"/>
              </w:rPr>
              <w:t>422</w:t>
            </w:r>
          </w:p>
        </w:tc>
        <w:tc>
          <w:tcPr>
            <w:tcW w:w="3180" w:type="dxa"/>
            <w:tcMar>
              <w:top w:w="0" w:type="dxa"/>
              <w:bottom w:w="0" w:type="dxa"/>
            </w:tcMar>
            <w:vAlign w:val="center"/>
          </w:tcPr>
          <w:p w14:paraId="3C8A6395" w14:textId="77777777" w:rsidR="00B930BA"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241B3215" w14:textId="77777777" w:rsidR="00B930BA" w:rsidRDefault="00000000">
            <w:pPr>
              <w:keepNext/>
              <w:keepLines/>
              <w:spacing w:after="0" w:line="240" w:lineRule="auto"/>
            </w:pPr>
            <w:r>
              <w:rPr>
                <w:sz w:val="18"/>
              </w:rPr>
              <w:t>422</w:t>
            </w:r>
          </w:p>
        </w:tc>
        <w:tc>
          <w:tcPr>
            <w:tcW w:w="1860" w:type="dxa"/>
            <w:tcMar>
              <w:top w:w="0" w:type="dxa"/>
              <w:bottom w:w="0" w:type="dxa"/>
            </w:tcMar>
            <w:vAlign w:val="center"/>
          </w:tcPr>
          <w:p w14:paraId="425D1922" w14:textId="77777777" w:rsidR="00B930BA" w:rsidRDefault="00000000">
            <w:pPr>
              <w:keepNext/>
              <w:keepLines/>
              <w:spacing w:after="0" w:line="240" w:lineRule="auto"/>
              <w:jc w:val="right"/>
            </w:pPr>
            <w:r>
              <w:rPr>
                <w:sz w:val="18"/>
              </w:rPr>
              <w:t>93.899,87</w:t>
            </w:r>
          </w:p>
        </w:tc>
        <w:tc>
          <w:tcPr>
            <w:tcW w:w="1860" w:type="dxa"/>
            <w:tcMar>
              <w:top w:w="0" w:type="dxa"/>
              <w:bottom w:w="0" w:type="dxa"/>
            </w:tcMar>
            <w:vAlign w:val="center"/>
          </w:tcPr>
          <w:p w14:paraId="089A0E76" w14:textId="77777777" w:rsidR="00B930BA" w:rsidRDefault="00000000">
            <w:pPr>
              <w:keepNext/>
              <w:keepLines/>
              <w:spacing w:after="0" w:line="240" w:lineRule="auto"/>
              <w:jc w:val="right"/>
            </w:pPr>
            <w:r>
              <w:rPr>
                <w:sz w:val="18"/>
              </w:rPr>
              <w:t>119.622,88</w:t>
            </w:r>
          </w:p>
        </w:tc>
        <w:tc>
          <w:tcPr>
            <w:tcW w:w="700" w:type="dxa"/>
            <w:tcMar>
              <w:top w:w="0" w:type="dxa"/>
              <w:bottom w:w="0" w:type="dxa"/>
            </w:tcMar>
            <w:vAlign w:val="center"/>
          </w:tcPr>
          <w:p w14:paraId="192987EE" w14:textId="77777777" w:rsidR="00B930BA" w:rsidRDefault="00000000">
            <w:pPr>
              <w:keepNext/>
              <w:keepLines/>
              <w:spacing w:after="0" w:line="240" w:lineRule="auto"/>
              <w:jc w:val="right"/>
            </w:pPr>
            <w:r>
              <w:rPr>
                <w:sz w:val="18"/>
              </w:rPr>
              <w:t>127,4</w:t>
            </w:r>
          </w:p>
        </w:tc>
      </w:tr>
    </w:tbl>
    <w:p w14:paraId="501B0B3A" w14:textId="77777777" w:rsidR="00B930BA" w:rsidRDefault="00B930BA">
      <w:pPr>
        <w:spacing w:after="0"/>
      </w:pPr>
    </w:p>
    <w:p w14:paraId="388A7F7F" w14:textId="77777777" w:rsidR="00B930BA" w:rsidRDefault="00000000">
      <w:r>
        <w:t>Od 1. siječnja do 31. prosinca 2025. godine ostvareni su rashodi u iznosu od 119.622,88 €, odnosno (27,4 % ili 25.723,01 € više nego u istom razdoblju 2024. godine. U promatranom razdoblju došlo je do povećanja  rashoda za uredsku opremu i namještaj, telefone i ostale komunikacijske uređaje, uređaje, strojeve i opremu za ostalu namjene.</w:t>
      </w:r>
    </w:p>
    <w:p w14:paraId="3449F34B" w14:textId="77777777" w:rsidR="00B930BA" w:rsidRDefault="00B930BA"/>
    <w:p w14:paraId="14075B04" w14:textId="77777777" w:rsidR="00B930BA"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35D4D91" w14:textId="77777777">
        <w:trPr>
          <w:cantSplit/>
        </w:trPr>
        <w:tc>
          <w:tcPr>
            <w:tcW w:w="700" w:type="dxa"/>
            <w:shd w:val="clear" w:color="auto" w:fill="E7F0F9"/>
            <w:tcMar>
              <w:top w:w="0" w:type="dxa"/>
              <w:bottom w:w="0" w:type="dxa"/>
            </w:tcMar>
            <w:vAlign w:val="center"/>
          </w:tcPr>
          <w:p w14:paraId="793B68F7"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36B4A1"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BC69B8"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307A9B"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DC6014"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EBBF4" w14:textId="77777777" w:rsidR="00B930BA" w:rsidRDefault="00000000">
            <w:pPr>
              <w:keepNext/>
              <w:keepLines/>
              <w:spacing w:after="0" w:line="240" w:lineRule="auto"/>
              <w:jc w:val="center"/>
            </w:pPr>
            <w:r>
              <w:rPr>
                <w:b/>
                <w:sz w:val="18"/>
              </w:rPr>
              <w:t>Indeks (%)</w:t>
            </w:r>
          </w:p>
        </w:tc>
      </w:tr>
      <w:tr w:rsidR="00B930BA" w14:paraId="50F912B9" w14:textId="77777777">
        <w:trPr>
          <w:cantSplit/>
          <w:trHeight w:val="560"/>
        </w:trPr>
        <w:tc>
          <w:tcPr>
            <w:tcW w:w="700" w:type="dxa"/>
            <w:tcMar>
              <w:top w:w="0" w:type="dxa"/>
              <w:bottom w:w="0" w:type="dxa"/>
            </w:tcMar>
            <w:vAlign w:val="center"/>
          </w:tcPr>
          <w:p w14:paraId="3D7589EB" w14:textId="77777777" w:rsidR="00B930BA" w:rsidRDefault="00000000">
            <w:pPr>
              <w:keepNext/>
              <w:keepLines/>
              <w:spacing w:after="0" w:line="240" w:lineRule="auto"/>
            </w:pPr>
            <w:r>
              <w:rPr>
                <w:sz w:val="18"/>
              </w:rPr>
              <w:t>5</w:t>
            </w:r>
          </w:p>
        </w:tc>
        <w:tc>
          <w:tcPr>
            <w:tcW w:w="3180" w:type="dxa"/>
            <w:tcMar>
              <w:top w:w="0" w:type="dxa"/>
              <w:bottom w:w="0" w:type="dxa"/>
            </w:tcMar>
            <w:vAlign w:val="center"/>
          </w:tcPr>
          <w:p w14:paraId="6138D8D5" w14:textId="77777777" w:rsidR="00B930BA"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5CE342C3" w14:textId="77777777" w:rsidR="00B930BA" w:rsidRDefault="00000000">
            <w:pPr>
              <w:keepNext/>
              <w:keepLines/>
              <w:spacing w:after="0" w:line="240" w:lineRule="auto"/>
            </w:pPr>
            <w:r>
              <w:rPr>
                <w:sz w:val="18"/>
              </w:rPr>
              <w:t>5</w:t>
            </w:r>
          </w:p>
        </w:tc>
        <w:tc>
          <w:tcPr>
            <w:tcW w:w="1860" w:type="dxa"/>
            <w:tcMar>
              <w:top w:w="0" w:type="dxa"/>
              <w:bottom w:w="0" w:type="dxa"/>
            </w:tcMar>
            <w:vAlign w:val="center"/>
          </w:tcPr>
          <w:p w14:paraId="15851573" w14:textId="77777777" w:rsidR="00B930BA" w:rsidRDefault="00000000">
            <w:pPr>
              <w:keepNext/>
              <w:keepLines/>
              <w:spacing w:after="0" w:line="240" w:lineRule="auto"/>
              <w:jc w:val="right"/>
            </w:pPr>
            <w:r>
              <w:rPr>
                <w:sz w:val="18"/>
              </w:rPr>
              <w:t>295.675,43</w:t>
            </w:r>
          </w:p>
        </w:tc>
        <w:tc>
          <w:tcPr>
            <w:tcW w:w="1860" w:type="dxa"/>
            <w:tcMar>
              <w:top w:w="0" w:type="dxa"/>
              <w:bottom w:w="0" w:type="dxa"/>
            </w:tcMar>
            <w:vAlign w:val="center"/>
          </w:tcPr>
          <w:p w14:paraId="2D9491C1" w14:textId="77777777" w:rsidR="00B930BA" w:rsidRDefault="00000000">
            <w:pPr>
              <w:keepNext/>
              <w:keepLines/>
              <w:spacing w:after="0" w:line="240" w:lineRule="auto"/>
              <w:jc w:val="right"/>
            </w:pPr>
            <w:r>
              <w:rPr>
                <w:sz w:val="18"/>
              </w:rPr>
              <w:t>201.896,64</w:t>
            </w:r>
          </w:p>
        </w:tc>
        <w:tc>
          <w:tcPr>
            <w:tcW w:w="700" w:type="dxa"/>
            <w:tcMar>
              <w:top w:w="0" w:type="dxa"/>
              <w:bottom w:w="0" w:type="dxa"/>
            </w:tcMar>
            <w:vAlign w:val="center"/>
          </w:tcPr>
          <w:p w14:paraId="37A85CB3" w14:textId="77777777" w:rsidR="00B930BA" w:rsidRDefault="00000000">
            <w:pPr>
              <w:keepNext/>
              <w:keepLines/>
              <w:spacing w:after="0" w:line="240" w:lineRule="auto"/>
              <w:jc w:val="right"/>
            </w:pPr>
            <w:r>
              <w:rPr>
                <w:sz w:val="18"/>
              </w:rPr>
              <w:t>68,3</w:t>
            </w:r>
          </w:p>
        </w:tc>
      </w:tr>
    </w:tbl>
    <w:p w14:paraId="7E5018EC" w14:textId="77777777" w:rsidR="00B930BA" w:rsidRDefault="00B930BA">
      <w:pPr>
        <w:spacing w:after="0"/>
      </w:pPr>
    </w:p>
    <w:p w14:paraId="61D90E24" w14:textId="77777777" w:rsidR="00B930BA" w:rsidRDefault="00000000">
      <w:r>
        <w:t>Izdaci za financijsku imovinu i otplatu zajmova u razdoblju od 1. siječnja do 31. prosinca 2025. godine ostvareni su u iznosu od 201.896,64 €, odnosno 31,7 % ili 93.778,79 € manje u odnosu na iste rashode ostvarene u promatranom razdoblju 2024. godine. Odnose se na otplatu glavnice primljenih kredita od kreditnih institucija u javnom sektoru.</w:t>
      </w:r>
    </w:p>
    <w:p w14:paraId="5F007762" w14:textId="77777777" w:rsidR="00B930BA" w:rsidRDefault="00B930BA"/>
    <w:p w14:paraId="2FF0D18E" w14:textId="77777777" w:rsidR="00B930BA"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6865F38" w14:textId="77777777">
        <w:trPr>
          <w:cantSplit/>
        </w:trPr>
        <w:tc>
          <w:tcPr>
            <w:tcW w:w="700" w:type="dxa"/>
            <w:shd w:val="clear" w:color="auto" w:fill="E7F0F9"/>
            <w:tcMar>
              <w:top w:w="0" w:type="dxa"/>
              <w:bottom w:w="0" w:type="dxa"/>
            </w:tcMar>
            <w:vAlign w:val="center"/>
          </w:tcPr>
          <w:p w14:paraId="44A3FE17"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579976"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A72D4A"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815F88"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3A8A3F"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D66250" w14:textId="77777777" w:rsidR="00B930BA" w:rsidRDefault="00000000">
            <w:pPr>
              <w:keepNext/>
              <w:keepLines/>
              <w:spacing w:after="0" w:line="240" w:lineRule="auto"/>
              <w:jc w:val="center"/>
            </w:pPr>
            <w:r>
              <w:rPr>
                <w:b/>
                <w:sz w:val="18"/>
              </w:rPr>
              <w:t>Indeks (%)</w:t>
            </w:r>
          </w:p>
        </w:tc>
      </w:tr>
      <w:tr w:rsidR="00B930BA" w14:paraId="0FDB4F82" w14:textId="77777777">
        <w:trPr>
          <w:cantSplit/>
          <w:trHeight w:val="560"/>
        </w:trPr>
        <w:tc>
          <w:tcPr>
            <w:tcW w:w="700" w:type="dxa"/>
            <w:tcMar>
              <w:top w:w="0" w:type="dxa"/>
              <w:bottom w:w="0" w:type="dxa"/>
            </w:tcMar>
            <w:vAlign w:val="center"/>
          </w:tcPr>
          <w:p w14:paraId="5BFFBE1C" w14:textId="77777777" w:rsidR="00B930BA" w:rsidRDefault="00000000">
            <w:pPr>
              <w:keepNext/>
              <w:keepLines/>
              <w:spacing w:after="0" w:line="240" w:lineRule="auto"/>
            </w:pPr>
            <w:r>
              <w:rPr>
                <w:sz w:val="18"/>
              </w:rPr>
              <w:t>542</w:t>
            </w:r>
          </w:p>
        </w:tc>
        <w:tc>
          <w:tcPr>
            <w:tcW w:w="3180" w:type="dxa"/>
            <w:tcMar>
              <w:top w:w="0" w:type="dxa"/>
              <w:bottom w:w="0" w:type="dxa"/>
            </w:tcMar>
            <w:vAlign w:val="center"/>
          </w:tcPr>
          <w:p w14:paraId="7D2D1F0C" w14:textId="77777777" w:rsidR="00B930BA" w:rsidRDefault="00000000">
            <w:pPr>
              <w:keepNext/>
              <w:keepLines/>
              <w:spacing w:after="0" w:line="240" w:lineRule="auto"/>
            </w:pPr>
            <w:r>
              <w:rPr>
                <w:sz w:val="18"/>
              </w:rPr>
              <w:t>Otplata glavnice primljenih kredita i zajmova od kreditnih i ostalih financijskih institucija u javnom sektoru (šifre 5422 do 5424)</w:t>
            </w:r>
          </w:p>
        </w:tc>
        <w:tc>
          <w:tcPr>
            <w:tcW w:w="700" w:type="dxa"/>
            <w:tcMar>
              <w:top w:w="0" w:type="dxa"/>
              <w:bottom w:w="0" w:type="dxa"/>
            </w:tcMar>
            <w:vAlign w:val="center"/>
          </w:tcPr>
          <w:p w14:paraId="470CF842" w14:textId="77777777" w:rsidR="00B930BA" w:rsidRDefault="00000000">
            <w:pPr>
              <w:keepNext/>
              <w:keepLines/>
              <w:spacing w:after="0" w:line="240" w:lineRule="auto"/>
            </w:pPr>
            <w:r>
              <w:rPr>
                <w:sz w:val="18"/>
              </w:rPr>
              <w:t>542</w:t>
            </w:r>
          </w:p>
        </w:tc>
        <w:tc>
          <w:tcPr>
            <w:tcW w:w="1860" w:type="dxa"/>
            <w:tcMar>
              <w:top w:w="0" w:type="dxa"/>
              <w:bottom w:w="0" w:type="dxa"/>
            </w:tcMar>
            <w:vAlign w:val="center"/>
          </w:tcPr>
          <w:p w14:paraId="579CE134" w14:textId="77777777" w:rsidR="00B930BA" w:rsidRDefault="00000000">
            <w:pPr>
              <w:keepNext/>
              <w:keepLines/>
              <w:spacing w:after="0" w:line="240" w:lineRule="auto"/>
              <w:jc w:val="right"/>
            </w:pPr>
            <w:r>
              <w:rPr>
                <w:sz w:val="18"/>
              </w:rPr>
              <w:t>235.546,08</w:t>
            </w:r>
          </w:p>
        </w:tc>
        <w:tc>
          <w:tcPr>
            <w:tcW w:w="1860" w:type="dxa"/>
            <w:tcMar>
              <w:top w:w="0" w:type="dxa"/>
              <w:bottom w:w="0" w:type="dxa"/>
            </w:tcMar>
            <w:vAlign w:val="center"/>
          </w:tcPr>
          <w:p w14:paraId="387870F1" w14:textId="77777777" w:rsidR="00B930BA" w:rsidRDefault="00000000">
            <w:pPr>
              <w:keepNext/>
              <w:keepLines/>
              <w:spacing w:after="0" w:line="240" w:lineRule="auto"/>
              <w:jc w:val="right"/>
            </w:pPr>
            <w:r>
              <w:rPr>
                <w:sz w:val="18"/>
              </w:rPr>
              <w:t>201.896,64</w:t>
            </w:r>
          </w:p>
        </w:tc>
        <w:tc>
          <w:tcPr>
            <w:tcW w:w="700" w:type="dxa"/>
            <w:tcMar>
              <w:top w:w="0" w:type="dxa"/>
              <w:bottom w:w="0" w:type="dxa"/>
            </w:tcMar>
            <w:vAlign w:val="center"/>
          </w:tcPr>
          <w:p w14:paraId="7F919A59" w14:textId="77777777" w:rsidR="00B930BA" w:rsidRDefault="00000000">
            <w:pPr>
              <w:keepNext/>
              <w:keepLines/>
              <w:spacing w:after="0" w:line="240" w:lineRule="auto"/>
              <w:jc w:val="right"/>
            </w:pPr>
            <w:r>
              <w:rPr>
                <w:sz w:val="18"/>
              </w:rPr>
              <w:t>85,7</w:t>
            </w:r>
          </w:p>
        </w:tc>
      </w:tr>
    </w:tbl>
    <w:p w14:paraId="6B85D569" w14:textId="77777777" w:rsidR="00B930BA" w:rsidRDefault="00B930BA">
      <w:pPr>
        <w:spacing w:after="0"/>
      </w:pPr>
    </w:p>
    <w:p w14:paraId="08591D47" w14:textId="77777777" w:rsidR="00B930BA" w:rsidRDefault="00000000">
      <w:r>
        <w:t>Od 1. siječnja do 31. prosinca 2025. godine na ovoj poziciji ostvareni su izdaci u iznosu od 201.896,64 €, odnosno 14,3 % ili 33.649,44 € manje za otplatu glavnice primljenih kredita nego u istom razdoblju 2024. godine.</w:t>
      </w:r>
    </w:p>
    <w:p w14:paraId="5DC4D148" w14:textId="77777777" w:rsidR="00B930BA" w:rsidRDefault="00B930BA"/>
    <w:p w14:paraId="629DA29A" w14:textId="77777777" w:rsidR="00B930BA" w:rsidRDefault="00000000">
      <w:pPr>
        <w:keepNext/>
        <w:spacing w:line="240" w:lineRule="auto"/>
        <w:jc w:val="center"/>
      </w:pPr>
      <w:r>
        <w:rPr>
          <w:b/>
          <w:sz w:val="28"/>
        </w:rPr>
        <w:t>Bilanca</w:t>
      </w:r>
    </w:p>
    <w:p w14:paraId="5473D9EB" w14:textId="77777777" w:rsidR="00B930BA"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1308E6A8" w14:textId="77777777">
        <w:trPr>
          <w:cantSplit/>
        </w:trPr>
        <w:tc>
          <w:tcPr>
            <w:tcW w:w="700" w:type="dxa"/>
            <w:shd w:val="clear" w:color="auto" w:fill="E7F0F9"/>
            <w:tcMar>
              <w:top w:w="0" w:type="dxa"/>
              <w:bottom w:w="0" w:type="dxa"/>
            </w:tcMar>
            <w:vAlign w:val="center"/>
          </w:tcPr>
          <w:p w14:paraId="7B7BDC6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C2E83B"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53FBAC"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EABFF7"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D32F56"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1CBD075" w14:textId="77777777" w:rsidR="00B930BA" w:rsidRDefault="00000000">
            <w:pPr>
              <w:keepNext/>
              <w:keepLines/>
              <w:spacing w:after="0" w:line="240" w:lineRule="auto"/>
              <w:jc w:val="center"/>
            </w:pPr>
            <w:r>
              <w:rPr>
                <w:b/>
                <w:sz w:val="18"/>
              </w:rPr>
              <w:t>Indeks (%)</w:t>
            </w:r>
          </w:p>
        </w:tc>
      </w:tr>
      <w:tr w:rsidR="00B930BA" w14:paraId="32ED965D" w14:textId="77777777">
        <w:trPr>
          <w:cantSplit/>
          <w:trHeight w:val="560"/>
        </w:trPr>
        <w:tc>
          <w:tcPr>
            <w:tcW w:w="700" w:type="dxa"/>
            <w:tcMar>
              <w:top w:w="0" w:type="dxa"/>
              <w:bottom w:w="0" w:type="dxa"/>
            </w:tcMar>
            <w:vAlign w:val="center"/>
          </w:tcPr>
          <w:p w14:paraId="57857FD0" w14:textId="77777777" w:rsidR="00B930BA" w:rsidRDefault="00000000">
            <w:pPr>
              <w:keepNext/>
              <w:keepLines/>
              <w:spacing w:after="0" w:line="240" w:lineRule="auto"/>
            </w:pPr>
            <w:r>
              <w:rPr>
                <w:sz w:val="18"/>
              </w:rPr>
              <w:t>011</w:t>
            </w:r>
          </w:p>
        </w:tc>
        <w:tc>
          <w:tcPr>
            <w:tcW w:w="3180" w:type="dxa"/>
            <w:tcMar>
              <w:top w:w="0" w:type="dxa"/>
              <w:bottom w:w="0" w:type="dxa"/>
            </w:tcMar>
            <w:vAlign w:val="center"/>
          </w:tcPr>
          <w:p w14:paraId="37854506" w14:textId="77777777" w:rsidR="00B930BA" w:rsidRDefault="00000000">
            <w:pPr>
              <w:keepNext/>
              <w:keepLines/>
              <w:spacing w:after="0" w:line="240" w:lineRule="auto"/>
            </w:pPr>
            <w:r>
              <w:rPr>
                <w:sz w:val="18"/>
              </w:rPr>
              <w:t>Materijalna imovina - prirodna bogatstva</w:t>
            </w:r>
          </w:p>
        </w:tc>
        <w:tc>
          <w:tcPr>
            <w:tcW w:w="700" w:type="dxa"/>
            <w:tcMar>
              <w:top w:w="0" w:type="dxa"/>
              <w:bottom w:w="0" w:type="dxa"/>
            </w:tcMar>
            <w:vAlign w:val="center"/>
          </w:tcPr>
          <w:p w14:paraId="0EB5D7B1" w14:textId="77777777" w:rsidR="00B930BA" w:rsidRDefault="00000000">
            <w:pPr>
              <w:keepNext/>
              <w:keepLines/>
              <w:spacing w:after="0" w:line="240" w:lineRule="auto"/>
            </w:pPr>
            <w:r>
              <w:rPr>
                <w:sz w:val="18"/>
              </w:rPr>
              <w:t>011</w:t>
            </w:r>
          </w:p>
        </w:tc>
        <w:tc>
          <w:tcPr>
            <w:tcW w:w="1860" w:type="dxa"/>
            <w:tcMar>
              <w:top w:w="0" w:type="dxa"/>
              <w:bottom w:w="0" w:type="dxa"/>
            </w:tcMar>
            <w:vAlign w:val="center"/>
          </w:tcPr>
          <w:p w14:paraId="712052FA" w14:textId="77777777" w:rsidR="00B930BA" w:rsidRDefault="00000000">
            <w:pPr>
              <w:keepNext/>
              <w:keepLines/>
              <w:spacing w:after="0" w:line="240" w:lineRule="auto"/>
              <w:jc w:val="right"/>
            </w:pPr>
            <w:r>
              <w:rPr>
                <w:sz w:val="18"/>
              </w:rPr>
              <w:t>1.176.329,87</w:t>
            </w:r>
          </w:p>
        </w:tc>
        <w:tc>
          <w:tcPr>
            <w:tcW w:w="1860" w:type="dxa"/>
            <w:tcMar>
              <w:top w:w="0" w:type="dxa"/>
              <w:bottom w:w="0" w:type="dxa"/>
            </w:tcMar>
            <w:vAlign w:val="center"/>
          </w:tcPr>
          <w:p w14:paraId="001C2B13" w14:textId="77777777" w:rsidR="00B930BA" w:rsidRDefault="00000000">
            <w:pPr>
              <w:keepNext/>
              <w:keepLines/>
              <w:spacing w:after="0" w:line="240" w:lineRule="auto"/>
              <w:jc w:val="right"/>
            </w:pPr>
            <w:r>
              <w:rPr>
                <w:sz w:val="18"/>
              </w:rPr>
              <w:t>1.193.895,93</w:t>
            </w:r>
          </w:p>
        </w:tc>
        <w:tc>
          <w:tcPr>
            <w:tcW w:w="700" w:type="dxa"/>
            <w:tcMar>
              <w:top w:w="0" w:type="dxa"/>
              <w:bottom w:w="0" w:type="dxa"/>
            </w:tcMar>
            <w:vAlign w:val="center"/>
          </w:tcPr>
          <w:p w14:paraId="53AD1AE5" w14:textId="77777777" w:rsidR="00B930BA" w:rsidRDefault="00000000">
            <w:pPr>
              <w:keepNext/>
              <w:keepLines/>
              <w:spacing w:after="0" w:line="240" w:lineRule="auto"/>
              <w:jc w:val="right"/>
            </w:pPr>
            <w:r>
              <w:rPr>
                <w:sz w:val="18"/>
              </w:rPr>
              <w:t>101,5</w:t>
            </w:r>
          </w:p>
        </w:tc>
      </w:tr>
    </w:tbl>
    <w:p w14:paraId="5FAE4779" w14:textId="77777777" w:rsidR="00B930BA" w:rsidRDefault="00B930BA">
      <w:pPr>
        <w:spacing w:after="0"/>
      </w:pPr>
    </w:p>
    <w:p w14:paraId="3BF8D70E" w14:textId="77777777" w:rsidR="00B930BA" w:rsidRDefault="00000000">
      <w:r>
        <w:t>Šifra 011 - materijalna imovina - stanje na dan 01.01. je 1.176.329,87 eura, a na dan 31.12. 1.193.895,93 eura te se vrijednost materijalne imovine u izvještajnom razdoblju promijenila za 1,5 %, odnosno za 17.566,06 eura.</w:t>
      </w:r>
    </w:p>
    <w:p w14:paraId="545F15B7" w14:textId="77777777" w:rsidR="00B930BA" w:rsidRDefault="00B930BA"/>
    <w:p w14:paraId="5ED10151" w14:textId="77777777" w:rsidR="00B930BA"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1B4D974" w14:textId="77777777">
        <w:trPr>
          <w:cantSplit/>
        </w:trPr>
        <w:tc>
          <w:tcPr>
            <w:tcW w:w="700" w:type="dxa"/>
            <w:shd w:val="clear" w:color="auto" w:fill="E7F0F9"/>
            <w:tcMar>
              <w:top w:w="0" w:type="dxa"/>
              <w:bottom w:w="0" w:type="dxa"/>
            </w:tcMar>
            <w:vAlign w:val="center"/>
          </w:tcPr>
          <w:p w14:paraId="132C7996"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413E51"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00868F"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3713AF"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FB0474"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E6B4DB" w14:textId="77777777" w:rsidR="00B930BA" w:rsidRDefault="00000000">
            <w:pPr>
              <w:keepNext/>
              <w:keepLines/>
              <w:spacing w:after="0" w:line="240" w:lineRule="auto"/>
              <w:jc w:val="center"/>
            </w:pPr>
            <w:r>
              <w:rPr>
                <w:b/>
                <w:sz w:val="18"/>
              </w:rPr>
              <w:t>Indeks (%)</w:t>
            </w:r>
          </w:p>
        </w:tc>
      </w:tr>
      <w:tr w:rsidR="00B930BA" w14:paraId="6A749223" w14:textId="77777777">
        <w:trPr>
          <w:cantSplit/>
          <w:trHeight w:val="560"/>
        </w:trPr>
        <w:tc>
          <w:tcPr>
            <w:tcW w:w="700" w:type="dxa"/>
            <w:tcMar>
              <w:top w:w="0" w:type="dxa"/>
              <w:bottom w:w="0" w:type="dxa"/>
            </w:tcMar>
            <w:vAlign w:val="center"/>
          </w:tcPr>
          <w:p w14:paraId="3206EAD8" w14:textId="77777777" w:rsidR="00B930BA" w:rsidRDefault="00000000">
            <w:pPr>
              <w:keepNext/>
              <w:keepLines/>
              <w:spacing w:after="0" w:line="240" w:lineRule="auto"/>
            </w:pPr>
            <w:r>
              <w:rPr>
                <w:sz w:val="18"/>
              </w:rPr>
              <w:t>012</w:t>
            </w:r>
          </w:p>
        </w:tc>
        <w:tc>
          <w:tcPr>
            <w:tcW w:w="3180" w:type="dxa"/>
            <w:tcMar>
              <w:top w:w="0" w:type="dxa"/>
              <w:bottom w:w="0" w:type="dxa"/>
            </w:tcMar>
            <w:vAlign w:val="center"/>
          </w:tcPr>
          <w:p w14:paraId="4E6C20AF" w14:textId="77777777" w:rsidR="00B930BA" w:rsidRDefault="00000000">
            <w:pPr>
              <w:keepNext/>
              <w:keepLines/>
              <w:spacing w:after="0" w:line="240" w:lineRule="auto"/>
            </w:pPr>
            <w:r>
              <w:rPr>
                <w:sz w:val="18"/>
              </w:rPr>
              <w:t>Nematerijalna imovina</w:t>
            </w:r>
          </w:p>
        </w:tc>
        <w:tc>
          <w:tcPr>
            <w:tcW w:w="700" w:type="dxa"/>
            <w:tcMar>
              <w:top w:w="0" w:type="dxa"/>
              <w:bottom w:w="0" w:type="dxa"/>
            </w:tcMar>
            <w:vAlign w:val="center"/>
          </w:tcPr>
          <w:p w14:paraId="252EA69A" w14:textId="77777777" w:rsidR="00B930BA" w:rsidRDefault="00000000">
            <w:pPr>
              <w:keepNext/>
              <w:keepLines/>
              <w:spacing w:after="0" w:line="240" w:lineRule="auto"/>
            </w:pPr>
            <w:r>
              <w:rPr>
                <w:sz w:val="18"/>
              </w:rPr>
              <w:t>012</w:t>
            </w:r>
          </w:p>
        </w:tc>
        <w:tc>
          <w:tcPr>
            <w:tcW w:w="1860" w:type="dxa"/>
            <w:tcMar>
              <w:top w:w="0" w:type="dxa"/>
              <w:bottom w:w="0" w:type="dxa"/>
            </w:tcMar>
            <w:vAlign w:val="center"/>
          </w:tcPr>
          <w:p w14:paraId="09BA314C" w14:textId="77777777" w:rsidR="00B930BA" w:rsidRDefault="00000000">
            <w:pPr>
              <w:keepNext/>
              <w:keepLines/>
              <w:spacing w:after="0" w:line="240" w:lineRule="auto"/>
              <w:jc w:val="right"/>
            </w:pPr>
            <w:r>
              <w:rPr>
                <w:sz w:val="18"/>
              </w:rPr>
              <w:t>110.487,08</w:t>
            </w:r>
          </w:p>
        </w:tc>
        <w:tc>
          <w:tcPr>
            <w:tcW w:w="1860" w:type="dxa"/>
            <w:tcMar>
              <w:top w:w="0" w:type="dxa"/>
              <w:bottom w:w="0" w:type="dxa"/>
            </w:tcMar>
            <w:vAlign w:val="center"/>
          </w:tcPr>
          <w:p w14:paraId="4701F1CC" w14:textId="77777777" w:rsidR="00B930BA" w:rsidRDefault="00000000">
            <w:pPr>
              <w:keepNext/>
              <w:keepLines/>
              <w:spacing w:after="0" w:line="240" w:lineRule="auto"/>
              <w:jc w:val="right"/>
            </w:pPr>
            <w:r>
              <w:rPr>
                <w:sz w:val="18"/>
              </w:rPr>
              <w:t>75.954,06</w:t>
            </w:r>
          </w:p>
        </w:tc>
        <w:tc>
          <w:tcPr>
            <w:tcW w:w="700" w:type="dxa"/>
            <w:tcMar>
              <w:top w:w="0" w:type="dxa"/>
              <w:bottom w:w="0" w:type="dxa"/>
            </w:tcMar>
            <w:vAlign w:val="center"/>
          </w:tcPr>
          <w:p w14:paraId="30A5FA00" w14:textId="77777777" w:rsidR="00B930BA" w:rsidRDefault="00000000">
            <w:pPr>
              <w:keepNext/>
              <w:keepLines/>
              <w:spacing w:after="0" w:line="240" w:lineRule="auto"/>
              <w:jc w:val="right"/>
            </w:pPr>
            <w:r>
              <w:rPr>
                <w:sz w:val="18"/>
              </w:rPr>
              <w:t>68,7</w:t>
            </w:r>
          </w:p>
        </w:tc>
      </w:tr>
    </w:tbl>
    <w:p w14:paraId="15173524" w14:textId="77777777" w:rsidR="00B930BA" w:rsidRDefault="00B930BA">
      <w:pPr>
        <w:spacing w:after="0"/>
      </w:pPr>
    </w:p>
    <w:p w14:paraId="365E5330" w14:textId="77777777" w:rsidR="00B930BA" w:rsidRDefault="00000000">
      <w:r>
        <w:t>Šifra 012 - nematerijalna imovina - stanje na dan 01.01. je 110.487,08 eura, a 31.12. 75.954,06 eura. U izvještajnom razdoblju vrijednost nematerijalne imovine smanjena je za 31,3 % odnosno za 34.533,02 eura.</w:t>
      </w:r>
    </w:p>
    <w:p w14:paraId="5BAA1940" w14:textId="77777777" w:rsidR="00B930BA" w:rsidRDefault="00B930BA"/>
    <w:p w14:paraId="27978AA9" w14:textId="77777777" w:rsidR="00B930BA"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6400937" w14:textId="77777777">
        <w:trPr>
          <w:cantSplit/>
        </w:trPr>
        <w:tc>
          <w:tcPr>
            <w:tcW w:w="700" w:type="dxa"/>
            <w:shd w:val="clear" w:color="auto" w:fill="E7F0F9"/>
            <w:tcMar>
              <w:top w:w="0" w:type="dxa"/>
              <w:bottom w:w="0" w:type="dxa"/>
            </w:tcMar>
            <w:vAlign w:val="center"/>
          </w:tcPr>
          <w:p w14:paraId="7BAF4A2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BC0B44"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8EE91"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B519B9"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A8C15F"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0F3A64" w14:textId="77777777" w:rsidR="00B930BA" w:rsidRDefault="00000000">
            <w:pPr>
              <w:keepNext/>
              <w:keepLines/>
              <w:spacing w:after="0" w:line="240" w:lineRule="auto"/>
              <w:jc w:val="center"/>
            </w:pPr>
            <w:r>
              <w:rPr>
                <w:b/>
                <w:sz w:val="18"/>
              </w:rPr>
              <w:t>Indeks (%)</w:t>
            </w:r>
          </w:p>
        </w:tc>
      </w:tr>
      <w:tr w:rsidR="00B930BA" w14:paraId="4DE9FAFC" w14:textId="77777777">
        <w:trPr>
          <w:cantSplit/>
          <w:trHeight w:val="560"/>
        </w:trPr>
        <w:tc>
          <w:tcPr>
            <w:tcW w:w="700" w:type="dxa"/>
            <w:tcMar>
              <w:top w:w="0" w:type="dxa"/>
              <w:bottom w:w="0" w:type="dxa"/>
            </w:tcMar>
            <w:vAlign w:val="center"/>
          </w:tcPr>
          <w:p w14:paraId="61AE3242" w14:textId="77777777" w:rsidR="00B930BA" w:rsidRDefault="00000000">
            <w:pPr>
              <w:keepNext/>
              <w:keepLines/>
              <w:spacing w:after="0" w:line="240" w:lineRule="auto"/>
            </w:pPr>
            <w:r>
              <w:rPr>
                <w:sz w:val="18"/>
              </w:rPr>
              <w:t>021 i 02921</w:t>
            </w:r>
          </w:p>
        </w:tc>
        <w:tc>
          <w:tcPr>
            <w:tcW w:w="3180" w:type="dxa"/>
            <w:tcMar>
              <w:top w:w="0" w:type="dxa"/>
              <w:bottom w:w="0" w:type="dxa"/>
            </w:tcMar>
            <w:vAlign w:val="center"/>
          </w:tcPr>
          <w:p w14:paraId="72CAFF6A" w14:textId="77777777" w:rsidR="00B930BA" w:rsidRDefault="00000000">
            <w:pPr>
              <w:keepNext/>
              <w:keepLines/>
              <w:spacing w:after="0" w:line="240" w:lineRule="auto"/>
            </w:pPr>
            <w:r>
              <w:rPr>
                <w:sz w:val="18"/>
              </w:rPr>
              <w:t>Građevinski objekti (šifre 0211 do 0214 - 02921)</w:t>
            </w:r>
          </w:p>
        </w:tc>
        <w:tc>
          <w:tcPr>
            <w:tcW w:w="700" w:type="dxa"/>
            <w:tcMar>
              <w:top w:w="0" w:type="dxa"/>
              <w:bottom w:w="0" w:type="dxa"/>
            </w:tcMar>
            <w:vAlign w:val="center"/>
          </w:tcPr>
          <w:p w14:paraId="70B585DB" w14:textId="77777777" w:rsidR="00B930BA" w:rsidRDefault="00000000">
            <w:pPr>
              <w:keepNext/>
              <w:keepLines/>
              <w:spacing w:after="0" w:line="240" w:lineRule="auto"/>
            </w:pPr>
            <w:r>
              <w:rPr>
                <w:sz w:val="18"/>
              </w:rPr>
              <w:t>021 i 02921</w:t>
            </w:r>
          </w:p>
        </w:tc>
        <w:tc>
          <w:tcPr>
            <w:tcW w:w="1860" w:type="dxa"/>
            <w:tcMar>
              <w:top w:w="0" w:type="dxa"/>
              <w:bottom w:w="0" w:type="dxa"/>
            </w:tcMar>
            <w:vAlign w:val="center"/>
          </w:tcPr>
          <w:p w14:paraId="7EDD289A" w14:textId="77777777" w:rsidR="00B930BA" w:rsidRDefault="00000000">
            <w:pPr>
              <w:keepNext/>
              <w:keepLines/>
              <w:spacing w:after="0" w:line="240" w:lineRule="auto"/>
              <w:jc w:val="right"/>
            </w:pPr>
            <w:r>
              <w:rPr>
                <w:sz w:val="18"/>
              </w:rPr>
              <w:t>11.173.598,56</w:t>
            </w:r>
          </w:p>
        </w:tc>
        <w:tc>
          <w:tcPr>
            <w:tcW w:w="1860" w:type="dxa"/>
            <w:tcMar>
              <w:top w:w="0" w:type="dxa"/>
              <w:bottom w:w="0" w:type="dxa"/>
            </w:tcMar>
            <w:vAlign w:val="center"/>
          </w:tcPr>
          <w:p w14:paraId="056B9A81" w14:textId="77777777" w:rsidR="00B930BA" w:rsidRDefault="00000000">
            <w:pPr>
              <w:keepNext/>
              <w:keepLines/>
              <w:spacing w:after="0" w:line="240" w:lineRule="auto"/>
              <w:jc w:val="right"/>
            </w:pPr>
            <w:r>
              <w:rPr>
                <w:sz w:val="18"/>
              </w:rPr>
              <w:t>11.454.175,55</w:t>
            </w:r>
          </w:p>
        </w:tc>
        <w:tc>
          <w:tcPr>
            <w:tcW w:w="700" w:type="dxa"/>
            <w:tcMar>
              <w:top w:w="0" w:type="dxa"/>
              <w:bottom w:w="0" w:type="dxa"/>
            </w:tcMar>
            <w:vAlign w:val="center"/>
          </w:tcPr>
          <w:p w14:paraId="0C12F266" w14:textId="77777777" w:rsidR="00B930BA" w:rsidRDefault="00000000">
            <w:pPr>
              <w:keepNext/>
              <w:keepLines/>
              <w:spacing w:after="0" w:line="240" w:lineRule="auto"/>
              <w:jc w:val="right"/>
            </w:pPr>
            <w:r>
              <w:rPr>
                <w:sz w:val="18"/>
              </w:rPr>
              <w:t>102,5</w:t>
            </w:r>
          </w:p>
        </w:tc>
      </w:tr>
    </w:tbl>
    <w:p w14:paraId="244E7DC6" w14:textId="77777777" w:rsidR="00B930BA" w:rsidRDefault="00B930BA">
      <w:pPr>
        <w:spacing w:after="0"/>
      </w:pPr>
    </w:p>
    <w:p w14:paraId="723BE1CE" w14:textId="77777777" w:rsidR="00B930BA" w:rsidRDefault="00000000">
      <w:r>
        <w:t>Šifra 021 i 02921 - građevinski objekti - stanje dan 01.01. je 11.173.598,56 eura, a 31.12. 11.454.175,55 eura te je evidentirano povećanje vrijednosti za 280.576,99 (2,5%) eura što je rezultat razlike vrijednosti ulaganja i pripadajućeg ispravka vrijednosti.</w:t>
      </w:r>
    </w:p>
    <w:p w14:paraId="7E52839C" w14:textId="77777777" w:rsidR="00B930BA" w:rsidRDefault="00B930BA"/>
    <w:p w14:paraId="3E8FE78A" w14:textId="77777777" w:rsidR="00B930BA"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588D55A" w14:textId="77777777">
        <w:trPr>
          <w:cantSplit/>
        </w:trPr>
        <w:tc>
          <w:tcPr>
            <w:tcW w:w="700" w:type="dxa"/>
            <w:shd w:val="clear" w:color="auto" w:fill="E7F0F9"/>
            <w:tcMar>
              <w:top w:w="0" w:type="dxa"/>
              <w:bottom w:w="0" w:type="dxa"/>
            </w:tcMar>
            <w:vAlign w:val="center"/>
          </w:tcPr>
          <w:p w14:paraId="31B27A51"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70B3F75"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8E30A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EDB655"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78CD4C"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689E2D" w14:textId="77777777" w:rsidR="00B930BA" w:rsidRDefault="00000000">
            <w:pPr>
              <w:keepNext/>
              <w:keepLines/>
              <w:spacing w:after="0" w:line="240" w:lineRule="auto"/>
              <w:jc w:val="center"/>
            </w:pPr>
            <w:r>
              <w:rPr>
                <w:b/>
                <w:sz w:val="18"/>
              </w:rPr>
              <w:t>Indeks (%)</w:t>
            </w:r>
          </w:p>
        </w:tc>
      </w:tr>
      <w:tr w:rsidR="00B930BA" w14:paraId="5B35FA7E" w14:textId="77777777">
        <w:trPr>
          <w:cantSplit/>
          <w:trHeight w:val="560"/>
        </w:trPr>
        <w:tc>
          <w:tcPr>
            <w:tcW w:w="700" w:type="dxa"/>
            <w:tcMar>
              <w:top w:w="0" w:type="dxa"/>
              <w:bottom w:w="0" w:type="dxa"/>
            </w:tcMar>
            <w:vAlign w:val="center"/>
          </w:tcPr>
          <w:p w14:paraId="0D6DAF99" w14:textId="77777777" w:rsidR="00B930BA" w:rsidRDefault="00000000">
            <w:pPr>
              <w:keepNext/>
              <w:keepLines/>
              <w:spacing w:after="0" w:line="240" w:lineRule="auto"/>
            </w:pPr>
            <w:r>
              <w:rPr>
                <w:sz w:val="18"/>
              </w:rPr>
              <w:t>0212</w:t>
            </w:r>
          </w:p>
        </w:tc>
        <w:tc>
          <w:tcPr>
            <w:tcW w:w="3180" w:type="dxa"/>
            <w:tcMar>
              <w:top w:w="0" w:type="dxa"/>
              <w:bottom w:w="0" w:type="dxa"/>
            </w:tcMar>
            <w:vAlign w:val="center"/>
          </w:tcPr>
          <w:p w14:paraId="43F62DA7" w14:textId="77777777" w:rsidR="00B930BA" w:rsidRDefault="00000000">
            <w:pPr>
              <w:keepNext/>
              <w:keepLines/>
              <w:spacing w:after="0" w:line="240" w:lineRule="auto"/>
            </w:pPr>
            <w:r>
              <w:rPr>
                <w:sz w:val="18"/>
              </w:rPr>
              <w:t>Poslovni objekti</w:t>
            </w:r>
          </w:p>
        </w:tc>
        <w:tc>
          <w:tcPr>
            <w:tcW w:w="700" w:type="dxa"/>
            <w:tcMar>
              <w:top w:w="0" w:type="dxa"/>
              <w:bottom w:w="0" w:type="dxa"/>
            </w:tcMar>
            <w:vAlign w:val="center"/>
          </w:tcPr>
          <w:p w14:paraId="5642302D" w14:textId="77777777" w:rsidR="00B930BA" w:rsidRDefault="00000000">
            <w:pPr>
              <w:keepNext/>
              <w:keepLines/>
              <w:spacing w:after="0" w:line="240" w:lineRule="auto"/>
            </w:pPr>
            <w:r>
              <w:rPr>
                <w:sz w:val="18"/>
              </w:rPr>
              <w:t>0212</w:t>
            </w:r>
          </w:p>
        </w:tc>
        <w:tc>
          <w:tcPr>
            <w:tcW w:w="1860" w:type="dxa"/>
            <w:tcMar>
              <w:top w:w="0" w:type="dxa"/>
              <w:bottom w:w="0" w:type="dxa"/>
            </w:tcMar>
            <w:vAlign w:val="center"/>
          </w:tcPr>
          <w:p w14:paraId="443F2209" w14:textId="77777777" w:rsidR="00B930BA" w:rsidRDefault="00000000">
            <w:pPr>
              <w:keepNext/>
              <w:keepLines/>
              <w:spacing w:after="0" w:line="240" w:lineRule="auto"/>
              <w:jc w:val="right"/>
            </w:pPr>
            <w:r>
              <w:rPr>
                <w:sz w:val="18"/>
              </w:rPr>
              <w:t>4.567.978,52</w:t>
            </w:r>
          </w:p>
        </w:tc>
        <w:tc>
          <w:tcPr>
            <w:tcW w:w="1860" w:type="dxa"/>
            <w:tcMar>
              <w:top w:w="0" w:type="dxa"/>
              <w:bottom w:w="0" w:type="dxa"/>
            </w:tcMar>
            <w:vAlign w:val="center"/>
          </w:tcPr>
          <w:p w14:paraId="45099E7E" w14:textId="77777777" w:rsidR="00B930BA" w:rsidRDefault="00000000">
            <w:pPr>
              <w:keepNext/>
              <w:keepLines/>
              <w:spacing w:after="0" w:line="240" w:lineRule="auto"/>
              <w:jc w:val="right"/>
            </w:pPr>
            <w:r>
              <w:rPr>
                <w:sz w:val="18"/>
              </w:rPr>
              <w:t>4.847.858,90</w:t>
            </w:r>
          </w:p>
        </w:tc>
        <w:tc>
          <w:tcPr>
            <w:tcW w:w="700" w:type="dxa"/>
            <w:tcMar>
              <w:top w:w="0" w:type="dxa"/>
              <w:bottom w:w="0" w:type="dxa"/>
            </w:tcMar>
            <w:vAlign w:val="center"/>
          </w:tcPr>
          <w:p w14:paraId="1D121ED8" w14:textId="77777777" w:rsidR="00B930BA" w:rsidRDefault="00000000">
            <w:pPr>
              <w:keepNext/>
              <w:keepLines/>
              <w:spacing w:after="0" w:line="240" w:lineRule="auto"/>
              <w:jc w:val="right"/>
            </w:pPr>
            <w:r>
              <w:rPr>
                <w:sz w:val="18"/>
              </w:rPr>
              <w:t>106,1</w:t>
            </w:r>
          </w:p>
        </w:tc>
      </w:tr>
    </w:tbl>
    <w:p w14:paraId="40D78C30" w14:textId="77777777" w:rsidR="00B930BA" w:rsidRDefault="00B930BA">
      <w:pPr>
        <w:spacing w:after="0"/>
      </w:pPr>
    </w:p>
    <w:p w14:paraId="2829F42A" w14:textId="77777777" w:rsidR="00B930BA" w:rsidRDefault="00000000">
      <w:r>
        <w:t>Šifra 0212 - poslovni objekti - povećanje vrijednosti od 279.880,38 eura (6,1%), a odnosi se na troškove izgradnje vatrogasno-društvenog doma Kamenica - faza III.</w:t>
      </w:r>
    </w:p>
    <w:p w14:paraId="6C88CA38" w14:textId="77777777" w:rsidR="00B930BA" w:rsidRDefault="00B930BA"/>
    <w:p w14:paraId="56C2B3D0" w14:textId="77777777" w:rsidR="00B930BA"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641DC78" w14:textId="77777777">
        <w:trPr>
          <w:cantSplit/>
        </w:trPr>
        <w:tc>
          <w:tcPr>
            <w:tcW w:w="700" w:type="dxa"/>
            <w:shd w:val="clear" w:color="auto" w:fill="E7F0F9"/>
            <w:tcMar>
              <w:top w:w="0" w:type="dxa"/>
              <w:bottom w:w="0" w:type="dxa"/>
            </w:tcMar>
            <w:vAlign w:val="center"/>
          </w:tcPr>
          <w:p w14:paraId="06791AF1"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0B43FF"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3C938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4B907"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B6AF53F"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14F321A" w14:textId="77777777" w:rsidR="00B930BA" w:rsidRDefault="00000000">
            <w:pPr>
              <w:keepNext/>
              <w:keepLines/>
              <w:spacing w:after="0" w:line="240" w:lineRule="auto"/>
              <w:jc w:val="center"/>
            </w:pPr>
            <w:r>
              <w:rPr>
                <w:b/>
                <w:sz w:val="18"/>
              </w:rPr>
              <w:t>Indeks (%)</w:t>
            </w:r>
          </w:p>
        </w:tc>
      </w:tr>
      <w:tr w:rsidR="00B930BA" w14:paraId="5EC39886" w14:textId="77777777">
        <w:trPr>
          <w:cantSplit/>
          <w:trHeight w:val="560"/>
        </w:trPr>
        <w:tc>
          <w:tcPr>
            <w:tcW w:w="700" w:type="dxa"/>
            <w:tcMar>
              <w:top w:w="0" w:type="dxa"/>
              <w:bottom w:w="0" w:type="dxa"/>
            </w:tcMar>
            <w:vAlign w:val="center"/>
          </w:tcPr>
          <w:p w14:paraId="57B3DD4E" w14:textId="77777777" w:rsidR="00B930BA" w:rsidRDefault="00000000">
            <w:pPr>
              <w:keepNext/>
              <w:keepLines/>
              <w:spacing w:after="0" w:line="240" w:lineRule="auto"/>
            </w:pPr>
            <w:r>
              <w:rPr>
                <w:sz w:val="18"/>
              </w:rPr>
              <w:t>0213</w:t>
            </w:r>
          </w:p>
        </w:tc>
        <w:tc>
          <w:tcPr>
            <w:tcW w:w="3180" w:type="dxa"/>
            <w:tcMar>
              <w:top w:w="0" w:type="dxa"/>
              <w:bottom w:w="0" w:type="dxa"/>
            </w:tcMar>
            <w:vAlign w:val="center"/>
          </w:tcPr>
          <w:p w14:paraId="2A3DE0F7" w14:textId="77777777" w:rsidR="00B930BA"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22EC1F3A" w14:textId="77777777" w:rsidR="00B930BA" w:rsidRDefault="00000000">
            <w:pPr>
              <w:keepNext/>
              <w:keepLines/>
              <w:spacing w:after="0" w:line="240" w:lineRule="auto"/>
            </w:pPr>
            <w:r>
              <w:rPr>
                <w:sz w:val="18"/>
              </w:rPr>
              <w:t>0213</w:t>
            </w:r>
          </w:p>
        </w:tc>
        <w:tc>
          <w:tcPr>
            <w:tcW w:w="1860" w:type="dxa"/>
            <w:tcMar>
              <w:top w:w="0" w:type="dxa"/>
              <w:bottom w:w="0" w:type="dxa"/>
            </w:tcMar>
            <w:vAlign w:val="center"/>
          </w:tcPr>
          <w:p w14:paraId="5776B016" w14:textId="77777777" w:rsidR="00B930BA" w:rsidRDefault="00000000">
            <w:pPr>
              <w:keepNext/>
              <w:keepLines/>
              <w:spacing w:after="0" w:line="240" w:lineRule="auto"/>
              <w:jc w:val="right"/>
            </w:pPr>
            <w:r>
              <w:rPr>
                <w:sz w:val="18"/>
              </w:rPr>
              <w:t>6.807.694,79</w:t>
            </w:r>
          </w:p>
        </w:tc>
        <w:tc>
          <w:tcPr>
            <w:tcW w:w="1860" w:type="dxa"/>
            <w:tcMar>
              <w:top w:w="0" w:type="dxa"/>
              <w:bottom w:w="0" w:type="dxa"/>
            </w:tcMar>
            <w:vAlign w:val="center"/>
          </w:tcPr>
          <w:p w14:paraId="7F4E28C9" w14:textId="77777777" w:rsidR="00B930BA" w:rsidRDefault="00000000">
            <w:pPr>
              <w:keepNext/>
              <w:keepLines/>
              <w:spacing w:after="0" w:line="240" w:lineRule="auto"/>
              <w:jc w:val="right"/>
            </w:pPr>
            <w:r>
              <w:rPr>
                <w:sz w:val="18"/>
              </w:rPr>
              <w:t>7.152.561,22</w:t>
            </w:r>
          </w:p>
        </w:tc>
        <w:tc>
          <w:tcPr>
            <w:tcW w:w="700" w:type="dxa"/>
            <w:tcMar>
              <w:top w:w="0" w:type="dxa"/>
              <w:bottom w:w="0" w:type="dxa"/>
            </w:tcMar>
            <w:vAlign w:val="center"/>
          </w:tcPr>
          <w:p w14:paraId="747F9D54" w14:textId="77777777" w:rsidR="00B930BA" w:rsidRDefault="00000000">
            <w:pPr>
              <w:keepNext/>
              <w:keepLines/>
              <w:spacing w:after="0" w:line="240" w:lineRule="auto"/>
              <w:jc w:val="right"/>
            </w:pPr>
            <w:r>
              <w:rPr>
                <w:sz w:val="18"/>
              </w:rPr>
              <w:t>105,1</w:t>
            </w:r>
          </w:p>
        </w:tc>
      </w:tr>
    </w:tbl>
    <w:p w14:paraId="10BF3402" w14:textId="77777777" w:rsidR="00B930BA" w:rsidRDefault="00B930BA">
      <w:pPr>
        <w:spacing w:after="0"/>
      </w:pPr>
    </w:p>
    <w:p w14:paraId="123AF6B6" w14:textId="77777777" w:rsidR="00B930BA" w:rsidRDefault="00000000">
      <w:r>
        <w:t>Šifra 0213 - ceste, željeznice i ostali prometni objekti - povećanje vrijednosti za 344.866,43 eura što obuhvaća kapitalne projekte: modernizacija - asfaltiranje nerazvrstanih cesta, izgradnja Mažuranićeve ulice - groblje - I. faza i izgradnju nogostupa u Kameničkom Vrhovcu.</w:t>
      </w:r>
    </w:p>
    <w:p w14:paraId="7B17709E" w14:textId="77777777" w:rsidR="00B930BA" w:rsidRDefault="00B930BA"/>
    <w:p w14:paraId="4D4848B2" w14:textId="77777777" w:rsidR="00B930BA"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EACEB7F" w14:textId="77777777">
        <w:trPr>
          <w:cantSplit/>
        </w:trPr>
        <w:tc>
          <w:tcPr>
            <w:tcW w:w="700" w:type="dxa"/>
            <w:shd w:val="clear" w:color="auto" w:fill="E7F0F9"/>
            <w:tcMar>
              <w:top w:w="0" w:type="dxa"/>
              <w:bottom w:w="0" w:type="dxa"/>
            </w:tcMar>
            <w:vAlign w:val="center"/>
          </w:tcPr>
          <w:p w14:paraId="6919B2B2"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E9554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79F70A"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6F77A"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50C9AD"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955E131" w14:textId="77777777" w:rsidR="00B930BA" w:rsidRDefault="00000000">
            <w:pPr>
              <w:keepNext/>
              <w:keepLines/>
              <w:spacing w:after="0" w:line="240" w:lineRule="auto"/>
              <w:jc w:val="center"/>
            </w:pPr>
            <w:r>
              <w:rPr>
                <w:b/>
                <w:sz w:val="18"/>
              </w:rPr>
              <w:t>Indeks (%)</w:t>
            </w:r>
          </w:p>
        </w:tc>
      </w:tr>
      <w:tr w:rsidR="00B930BA" w14:paraId="5131FE17" w14:textId="77777777">
        <w:trPr>
          <w:cantSplit/>
          <w:trHeight w:val="560"/>
        </w:trPr>
        <w:tc>
          <w:tcPr>
            <w:tcW w:w="700" w:type="dxa"/>
            <w:tcMar>
              <w:top w:w="0" w:type="dxa"/>
              <w:bottom w:w="0" w:type="dxa"/>
            </w:tcMar>
            <w:vAlign w:val="center"/>
          </w:tcPr>
          <w:p w14:paraId="3AD320AF" w14:textId="77777777" w:rsidR="00B930BA" w:rsidRDefault="00000000">
            <w:pPr>
              <w:keepNext/>
              <w:keepLines/>
              <w:spacing w:after="0" w:line="240" w:lineRule="auto"/>
            </w:pPr>
            <w:r>
              <w:rPr>
                <w:sz w:val="18"/>
              </w:rPr>
              <w:t>0214</w:t>
            </w:r>
          </w:p>
        </w:tc>
        <w:tc>
          <w:tcPr>
            <w:tcW w:w="3180" w:type="dxa"/>
            <w:tcMar>
              <w:top w:w="0" w:type="dxa"/>
              <w:bottom w:w="0" w:type="dxa"/>
            </w:tcMar>
            <w:vAlign w:val="center"/>
          </w:tcPr>
          <w:p w14:paraId="5099A03B" w14:textId="77777777" w:rsidR="00B930BA"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30A4DC4A" w14:textId="77777777" w:rsidR="00B930BA" w:rsidRDefault="00000000">
            <w:pPr>
              <w:keepNext/>
              <w:keepLines/>
              <w:spacing w:after="0" w:line="240" w:lineRule="auto"/>
            </w:pPr>
            <w:r>
              <w:rPr>
                <w:sz w:val="18"/>
              </w:rPr>
              <w:t>0214</w:t>
            </w:r>
          </w:p>
        </w:tc>
        <w:tc>
          <w:tcPr>
            <w:tcW w:w="1860" w:type="dxa"/>
            <w:tcMar>
              <w:top w:w="0" w:type="dxa"/>
              <w:bottom w:w="0" w:type="dxa"/>
            </w:tcMar>
            <w:vAlign w:val="center"/>
          </w:tcPr>
          <w:p w14:paraId="3FA3C917" w14:textId="77777777" w:rsidR="00B930BA" w:rsidRDefault="00000000">
            <w:pPr>
              <w:keepNext/>
              <w:keepLines/>
              <w:spacing w:after="0" w:line="240" w:lineRule="auto"/>
              <w:jc w:val="right"/>
            </w:pPr>
            <w:r>
              <w:rPr>
                <w:sz w:val="18"/>
              </w:rPr>
              <w:t>3.465.476,20</w:t>
            </w:r>
          </w:p>
        </w:tc>
        <w:tc>
          <w:tcPr>
            <w:tcW w:w="1860" w:type="dxa"/>
            <w:tcMar>
              <w:top w:w="0" w:type="dxa"/>
              <w:bottom w:w="0" w:type="dxa"/>
            </w:tcMar>
            <w:vAlign w:val="center"/>
          </w:tcPr>
          <w:p w14:paraId="096658C4" w14:textId="77777777" w:rsidR="00B930BA" w:rsidRDefault="00000000">
            <w:pPr>
              <w:keepNext/>
              <w:keepLines/>
              <w:spacing w:after="0" w:line="240" w:lineRule="auto"/>
              <w:jc w:val="right"/>
            </w:pPr>
            <w:r>
              <w:rPr>
                <w:sz w:val="18"/>
              </w:rPr>
              <w:t>3.472.259,36</w:t>
            </w:r>
          </w:p>
        </w:tc>
        <w:tc>
          <w:tcPr>
            <w:tcW w:w="700" w:type="dxa"/>
            <w:tcMar>
              <w:top w:w="0" w:type="dxa"/>
              <w:bottom w:w="0" w:type="dxa"/>
            </w:tcMar>
            <w:vAlign w:val="center"/>
          </w:tcPr>
          <w:p w14:paraId="36680FC6" w14:textId="77777777" w:rsidR="00B930BA" w:rsidRDefault="00000000">
            <w:pPr>
              <w:keepNext/>
              <w:keepLines/>
              <w:spacing w:after="0" w:line="240" w:lineRule="auto"/>
              <w:jc w:val="right"/>
            </w:pPr>
            <w:r>
              <w:rPr>
                <w:sz w:val="18"/>
              </w:rPr>
              <w:t>100,2</w:t>
            </w:r>
          </w:p>
        </w:tc>
      </w:tr>
    </w:tbl>
    <w:p w14:paraId="05ED860F" w14:textId="77777777" w:rsidR="00B930BA" w:rsidRDefault="00B930BA">
      <w:pPr>
        <w:spacing w:after="0"/>
      </w:pPr>
    </w:p>
    <w:p w14:paraId="043CAECA" w14:textId="77777777" w:rsidR="00B930BA" w:rsidRDefault="00000000">
      <w:r>
        <w:t>Šifra 0214 - ostali građevinski objekti - povećanje vrijednosti za 6.783,16 eura, a koje se odnosi na troškove izrade projektne dokumentacije javne rasvjete i nabavu slavine u gradskom parku.</w:t>
      </w:r>
    </w:p>
    <w:p w14:paraId="270A3DD9" w14:textId="77777777" w:rsidR="00B930BA" w:rsidRDefault="00B930BA"/>
    <w:p w14:paraId="4EF365BA" w14:textId="77777777" w:rsidR="00B930BA"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A0B645A" w14:textId="77777777">
        <w:trPr>
          <w:cantSplit/>
        </w:trPr>
        <w:tc>
          <w:tcPr>
            <w:tcW w:w="700" w:type="dxa"/>
            <w:shd w:val="clear" w:color="auto" w:fill="E7F0F9"/>
            <w:tcMar>
              <w:top w:w="0" w:type="dxa"/>
              <w:bottom w:w="0" w:type="dxa"/>
            </w:tcMar>
            <w:vAlign w:val="center"/>
          </w:tcPr>
          <w:p w14:paraId="6A927DBD"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EEAE74"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A7561C"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9F2BF7"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667AA0"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7B0214" w14:textId="77777777" w:rsidR="00B930BA" w:rsidRDefault="00000000">
            <w:pPr>
              <w:keepNext/>
              <w:keepLines/>
              <w:spacing w:after="0" w:line="240" w:lineRule="auto"/>
              <w:jc w:val="center"/>
            </w:pPr>
            <w:r>
              <w:rPr>
                <w:b/>
                <w:sz w:val="18"/>
              </w:rPr>
              <w:t>Indeks (%)</w:t>
            </w:r>
          </w:p>
        </w:tc>
      </w:tr>
      <w:tr w:rsidR="00B930BA" w14:paraId="1CD854AB" w14:textId="77777777">
        <w:trPr>
          <w:cantSplit/>
          <w:trHeight w:val="560"/>
        </w:trPr>
        <w:tc>
          <w:tcPr>
            <w:tcW w:w="700" w:type="dxa"/>
            <w:tcMar>
              <w:top w:w="0" w:type="dxa"/>
              <w:bottom w:w="0" w:type="dxa"/>
            </w:tcMar>
            <w:vAlign w:val="center"/>
          </w:tcPr>
          <w:p w14:paraId="7215952E" w14:textId="77777777" w:rsidR="00B930BA" w:rsidRDefault="00000000">
            <w:pPr>
              <w:keepNext/>
              <w:keepLines/>
              <w:spacing w:after="0" w:line="240" w:lineRule="auto"/>
            </w:pPr>
            <w:r>
              <w:rPr>
                <w:sz w:val="18"/>
              </w:rPr>
              <w:t>02921</w:t>
            </w:r>
          </w:p>
        </w:tc>
        <w:tc>
          <w:tcPr>
            <w:tcW w:w="3180" w:type="dxa"/>
            <w:tcMar>
              <w:top w:w="0" w:type="dxa"/>
              <w:bottom w:w="0" w:type="dxa"/>
            </w:tcMar>
            <w:vAlign w:val="center"/>
          </w:tcPr>
          <w:p w14:paraId="4108EBCD" w14:textId="77777777" w:rsidR="00B930BA" w:rsidRDefault="00000000">
            <w:pPr>
              <w:keepNext/>
              <w:keepLines/>
              <w:spacing w:after="0" w:line="240" w:lineRule="auto"/>
            </w:pPr>
            <w:r>
              <w:rPr>
                <w:sz w:val="18"/>
              </w:rPr>
              <w:t>Ispravak vrijednosti građevinskih objekata</w:t>
            </w:r>
          </w:p>
        </w:tc>
        <w:tc>
          <w:tcPr>
            <w:tcW w:w="700" w:type="dxa"/>
            <w:tcMar>
              <w:top w:w="0" w:type="dxa"/>
              <w:bottom w:w="0" w:type="dxa"/>
            </w:tcMar>
            <w:vAlign w:val="center"/>
          </w:tcPr>
          <w:p w14:paraId="0E4AF0DE" w14:textId="77777777" w:rsidR="00B930BA" w:rsidRDefault="00000000">
            <w:pPr>
              <w:keepNext/>
              <w:keepLines/>
              <w:spacing w:after="0" w:line="240" w:lineRule="auto"/>
            </w:pPr>
            <w:r>
              <w:rPr>
                <w:sz w:val="18"/>
              </w:rPr>
              <w:t>02921</w:t>
            </w:r>
          </w:p>
        </w:tc>
        <w:tc>
          <w:tcPr>
            <w:tcW w:w="1860" w:type="dxa"/>
            <w:tcMar>
              <w:top w:w="0" w:type="dxa"/>
              <w:bottom w:w="0" w:type="dxa"/>
            </w:tcMar>
            <w:vAlign w:val="center"/>
          </w:tcPr>
          <w:p w14:paraId="6C071C82" w14:textId="77777777" w:rsidR="00B930BA" w:rsidRDefault="00000000">
            <w:pPr>
              <w:keepNext/>
              <w:keepLines/>
              <w:spacing w:after="0" w:line="240" w:lineRule="auto"/>
              <w:jc w:val="right"/>
            </w:pPr>
            <w:r>
              <w:rPr>
                <w:sz w:val="18"/>
              </w:rPr>
              <w:t>3.809.213,37</w:t>
            </w:r>
          </w:p>
        </w:tc>
        <w:tc>
          <w:tcPr>
            <w:tcW w:w="1860" w:type="dxa"/>
            <w:tcMar>
              <w:top w:w="0" w:type="dxa"/>
              <w:bottom w:w="0" w:type="dxa"/>
            </w:tcMar>
            <w:vAlign w:val="center"/>
          </w:tcPr>
          <w:p w14:paraId="67DD9957" w14:textId="77777777" w:rsidR="00B930BA" w:rsidRDefault="00000000">
            <w:pPr>
              <w:keepNext/>
              <w:keepLines/>
              <w:spacing w:after="0" w:line="240" w:lineRule="auto"/>
              <w:jc w:val="right"/>
            </w:pPr>
            <w:r>
              <w:rPr>
                <w:sz w:val="18"/>
              </w:rPr>
              <w:t>4.160.166,35</w:t>
            </w:r>
          </w:p>
        </w:tc>
        <w:tc>
          <w:tcPr>
            <w:tcW w:w="700" w:type="dxa"/>
            <w:tcMar>
              <w:top w:w="0" w:type="dxa"/>
              <w:bottom w:w="0" w:type="dxa"/>
            </w:tcMar>
            <w:vAlign w:val="center"/>
          </w:tcPr>
          <w:p w14:paraId="3B509106" w14:textId="77777777" w:rsidR="00B930BA" w:rsidRDefault="00000000">
            <w:pPr>
              <w:keepNext/>
              <w:keepLines/>
              <w:spacing w:after="0" w:line="240" w:lineRule="auto"/>
              <w:jc w:val="right"/>
            </w:pPr>
            <w:r>
              <w:rPr>
                <w:sz w:val="18"/>
              </w:rPr>
              <w:t>109,2</w:t>
            </w:r>
          </w:p>
        </w:tc>
      </w:tr>
    </w:tbl>
    <w:p w14:paraId="3234F485" w14:textId="77777777" w:rsidR="00B930BA" w:rsidRDefault="00B930BA">
      <w:pPr>
        <w:spacing w:after="0"/>
      </w:pPr>
    </w:p>
    <w:p w14:paraId="34956856" w14:textId="77777777" w:rsidR="00B930BA" w:rsidRDefault="00000000">
      <w:r>
        <w:t>Ispravak vrijednosti građevinskih objekata u 2025. godini iznosi 4.160.166,35 eura.</w:t>
      </w:r>
    </w:p>
    <w:p w14:paraId="62D072CC" w14:textId="77777777" w:rsidR="00B930BA" w:rsidRDefault="00B930BA"/>
    <w:p w14:paraId="71D0E7DB" w14:textId="77777777" w:rsidR="00B930BA"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941423C" w14:textId="77777777">
        <w:trPr>
          <w:cantSplit/>
        </w:trPr>
        <w:tc>
          <w:tcPr>
            <w:tcW w:w="700" w:type="dxa"/>
            <w:shd w:val="clear" w:color="auto" w:fill="E7F0F9"/>
            <w:tcMar>
              <w:top w:w="0" w:type="dxa"/>
              <w:bottom w:w="0" w:type="dxa"/>
            </w:tcMar>
            <w:vAlign w:val="center"/>
          </w:tcPr>
          <w:p w14:paraId="765B9E0A"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3CACB9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F201C2"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3A1A0A"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005ABB4"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98E977" w14:textId="77777777" w:rsidR="00B930BA" w:rsidRDefault="00000000">
            <w:pPr>
              <w:keepNext/>
              <w:keepLines/>
              <w:spacing w:after="0" w:line="240" w:lineRule="auto"/>
              <w:jc w:val="center"/>
            </w:pPr>
            <w:r>
              <w:rPr>
                <w:b/>
                <w:sz w:val="18"/>
              </w:rPr>
              <w:t>Indeks (%)</w:t>
            </w:r>
          </w:p>
        </w:tc>
      </w:tr>
      <w:tr w:rsidR="00B930BA" w14:paraId="49BEA542" w14:textId="77777777">
        <w:trPr>
          <w:cantSplit/>
          <w:trHeight w:val="560"/>
        </w:trPr>
        <w:tc>
          <w:tcPr>
            <w:tcW w:w="700" w:type="dxa"/>
            <w:tcMar>
              <w:top w:w="0" w:type="dxa"/>
              <w:bottom w:w="0" w:type="dxa"/>
            </w:tcMar>
            <w:vAlign w:val="center"/>
          </w:tcPr>
          <w:p w14:paraId="0796E6FF" w14:textId="77777777" w:rsidR="00B930BA" w:rsidRDefault="00000000">
            <w:pPr>
              <w:keepNext/>
              <w:keepLines/>
              <w:spacing w:after="0" w:line="240" w:lineRule="auto"/>
            </w:pPr>
            <w:r>
              <w:rPr>
                <w:sz w:val="18"/>
              </w:rPr>
              <w:t>022 i 02922</w:t>
            </w:r>
          </w:p>
        </w:tc>
        <w:tc>
          <w:tcPr>
            <w:tcW w:w="3180" w:type="dxa"/>
            <w:tcMar>
              <w:top w:w="0" w:type="dxa"/>
              <w:bottom w:w="0" w:type="dxa"/>
            </w:tcMar>
            <w:vAlign w:val="center"/>
          </w:tcPr>
          <w:p w14:paraId="43286707" w14:textId="77777777" w:rsidR="00B930BA" w:rsidRDefault="00000000">
            <w:pPr>
              <w:keepNext/>
              <w:keepLines/>
              <w:spacing w:after="0" w:line="240" w:lineRule="auto"/>
            </w:pPr>
            <w:r>
              <w:rPr>
                <w:sz w:val="18"/>
              </w:rPr>
              <w:t>Postrojenja i oprema (šifre 0221 do 0228 - 02922)</w:t>
            </w:r>
          </w:p>
        </w:tc>
        <w:tc>
          <w:tcPr>
            <w:tcW w:w="700" w:type="dxa"/>
            <w:tcMar>
              <w:top w:w="0" w:type="dxa"/>
              <w:bottom w:w="0" w:type="dxa"/>
            </w:tcMar>
            <w:vAlign w:val="center"/>
          </w:tcPr>
          <w:p w14:paraId="00055FB3" w14:textId="77777777" w:rsidR="00B930BA" w:rsidRDefault="00000000">
            <w:pPr>
              <w:keepNext/>
              <w:keepLines/>
              <w:spacing w:after="0" w:line="240" w:lineRule="auto"/>
            </w:pPr>
            <w:r>
              <w:rPr>
                <w:sz w:val="18"/>
              </w:rPr>
              <w:t>022 i 02922</w:t>
            </w:r>
          </w:p>
        </w:tc>
        <w:tc>
          <w:tcPr>
            <w:tcW w:w="1860" w:type="dxa"/>
            <w:tcMar>
              <w:top w:w="0" w:type="dxa"/>
              <w:bottom w:w="0" w:type="dxa"/>
            </w:tcMar>
            <w:vAlign w:val="center"/>
          </w:tcPr>
          <w:p w14:paraId="6934F592" w14:textId="77777777" w:rsidR="00B930BA" w:rsidRDefault="00000000">
            <w:pPr>
              <w:keepNext/>
              <w:keepLines/>
              <w:spacing w:after="0" w:line="240" w:lineRule="auto"/>
              <w:jc w:val="right"/>
            </w:pPr>
            <w:r>
              <w:rPr>
                <w:sz w:val="18"/>
              </w:rPr>
              <w:t>440.708,85</w:t>
            </w:r>
          </w:p>
        </w:tc>
        <w:tc>
          <w:tcPr>
            <w:tcW w:w="1860" w:type="dxa"/>
            <w:tcMar>
              <w:top w:w="0" w:type="dxa"/>
              <w:bottom w:w="0" w:type="dxa"/>
            </w:tcMar>
            <w:vAlign w:val="center"/>
          </w:tcPr>
          <w:p w14:paraId="2FBDCDF0" w14:textId="77777777" w:rsidR="00B930BA" w:rsidRDefault="00000000">
            <w:pPr>
              <w:keepNext/>
              <w:keepLines/>
              <w:spacing w:after="0" w:line="240" w:lineRule="auto"/>
              <w:jc w:val="right"/>
            </w:pPr>
            <w:r>
              <w:rPr>
                <w:sz w:val="18"/>
              </w:rPr>
              <w:t>493.502,69</w:t>
            </w:r>
          </w:p>
        </w:tc>
        <w:tc>
          <w:tcPr>
            <w:tcW w:w="700" w:type="dxa"/>
            <w:tcMar>
              <w:top w:w="0" w:type="dxa"/>
              <w:bottom w:w="0" w:type="dxa"/>
            </w:tcMar>
            <w:vAlign w:val="center"/>
          </w:tcPr>
          <w:p w14:paraId="1F92471B" w14:textId="77777777" w:rsidR="00B930BA" w:rsidRDefault="00000000">
            <w:pPr>
              <w:keepNext/>
              <w:keepLines/>
              <w:spacing w:after="0" w:line="240" w:lineRule="auto"/>
              <w:jc w:val="right"/>
            </w:pPr>
            <w:r>
              <w:rPr>
                <w:sz w:val="18"/>
              </w:rPr>
              <w:t>112,0</w:t>
            </w:r>
          </w:p>
        </w:tc>
      </w:tr>
    </w:tbl>
    <w:p w14:paraId="31D6B5A3" w14:textId="77777777" w:rsidR="00B930BA" w:rsidRDefault="00B930BA">
      <w:pPr>
        <w:spacing w:after="0"/>
      </w:pPr>
    </w:p>
    <w:p w14:paraId="1502EDD5" w14:textId="77777777" w:rsidR="00B930BA" w:rsidRDefault="00000000">
      <w:r>
        <w:t xml:space="preserve">Šifra 022 i 02922 - postrojenja i oprema - stanje na dan 01.01. je 440.708,85 eura, a 31.12. 493.502,69 eura te se vrijednost povećala za 52.793,84 eura što je razlika između novonabavljene opreme i ispravka vrijednosti. Tijekom 2025. godine nabavljena je nova računalna oprema, vanjska dječja igrala kod dječjeg vrtića u Donjoj Višnjici, oprema za dječji vrtić Lepoglava, </w:t>
      </w:r>
      <w:proofErr w:type="spellStart"/>
      <w:r>
        <w:t>kubusi</w:t>
      </w:r>
      <w:proofErr w:type="spellEnd"/>
      <w:r>
        <w:t xml:space="preserve"> i izložbeni elementi, uređeno je dječje igralište na sportskom centru, nabavljena je stanica za mjerenje kvalitete zraka i spremnici za kontejnere.</w:t>
      </w:r>
    </w:p>
    <w:p w14:paraId="2C6AC006" w14:textId="77777777" w:rsidR="00B930BA" w:rsidRDefault="00B930BA"/>
    <w:p w14:paraId="16557023" w14:textId="77777777" w:rsidR="00B930BA"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7FA051E" w14:textId="77777777">
        <w:trPr>
          <w:cantSplit/>
        </w:trPr>
        <w:tc>
          <w:tcPr>
            <w:tcW w:w="700" w:type="dxa"/>
            <w:shd w:val="clear" w:color="auto" w:fill="E7F0F9"/>
            <w:tcMar>
              <w:top w:w="0" w:type="dxa"/>
              <w:bottom w:w="0" w:type="dxa"/>
            </w:tcMar>
            <w:vAlign w:val="center"/>
          </w:tcPr>
          <w:p w14:paraId="66BBACE7"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E510FB"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C938B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917B8E"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3DBD78"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9A77FD" w14:textId="77777777" w:rsidR="00B930BA" w:rsidRDefault="00000000">
            <w:pPr>
              <w:keepNext/>
              <w:keepLines/>
              <w:spacing w:after="0" w:line="240" w:lineRule="auto"/>
              <w:jc w:val="center"/>
            </w:pPr>
            <w:r>
              <w:rPr>
                <w:b/>
                <w:sz w:val="18"/>
              </w:rPr>
              <w:t>Indeks (%)</w:t>
            </w:r>
          </w:p>
        </w:tc>
      </w:tr>
      <w:tr w:rsidR="00B930BA" w14:paraId="2343BD9F" w14:textId="77777777">
        <w:trPr>
          <w:cantSplit/>
          <w:trHeight w:val="560"/>
        </w:trPr>
        <w:tc>
          <w:tcPr>
            <w:tcW w:w="700" w:type="dxa"/>
            <w:tcMar>
              <w:top w:w="0" w:type="dxa"/>
              <w:bottom w:w="0" w:type="dxa"/>
            </w:tcMar>
            <w:vAlign w:val="center"/>
          </w:tcPr>
          <w:p w14:paraId="0DA3326F" w14:textId="77777777" w:rsidR="00B930BA" w:rsidRDefault="00000000">
            <w:pPr>
              <w:keepNext/>
              <w:keepLines/>
              <w:spacing w:after="0" w:line="240" w:lineRule="auto"/>
            </w:pPr>
            <w:r>
              <w:rPr>
                <w:sz w:val="18"/>
              </w:rPr>
              <w:t>02922</w:t>
            </w:r>
          </w:p>
        </w:tc>
        <w:tc>
          <w:tcPr>
            <w:tcW w:w="3180" w:type="dxa"/>
            <w:tcMar>
              <w:top w:w="0" w:type="dxa"/>
              <w:bottom w:w="0" w:type="dxa"/>
            </w:tcMar>
            <w:vAlign w:val="center"/>
          </w:tcPr>
          <w:p w14:paraId="48D27A54" w14:textId="77777777" w:rsidR="00B930BA" w:rsidRDefault="00000000">
            <w:pPr>
              <w:keepNext/>
              <w:keepLines/>
              <w:spacing w:after="0" w:line="240" w:lineRule="auto"/>
            </w:pPr>
            <w:r>
              <w:rPr>
                <w:sz w:val="18"/>
              </w:rPr>
              <w:t>Ispravak vrijednosti postrojenja i opreme</w:t>
            </w:r>
          </w:p>
        </w:tc>
        <w:tc>
          <w:tcPr>
            <w:tcW w:w="700" w:type="dxa"/>
            <w:tcMar>
              <w:top w:w="0" w:type="dxa"/>
              <w:bottom w:w="0" w:type="dxa"/>
            </w:tcMar>
            <w:vAlign w:val="center"/>
          </w:tcPr>
          <w:p w14:paraId="4DABD696" w14:textId="77777777" w:rsidR="00B930BA" w:rsidRDefault="00000000">
            <w:pPr>
              <w:keepNext/>
              <w:keepLines/>
              <w:spacing w:after="0" w:line="240" w:lineRule="auto"/>
            </w:pPr>
            <w:r>
              <w:rPr>
                <w:sz w:val="18"/>
              </w:rPr>
              <w:t>02922</w:t>
            </w:r>
          </w:p>
        </w:tc>
        <w:tc>
          <w:tcPr>
            <w:tcW w:w="1860" w:type="dxa"/>
            <w:tcMar>
              <w:top w:w="0" w:type="dxa"/>
              <w:bottom w:w="0" w:type="dxa"/>
            </w:tcMar>
            <w:vAlign w:val="center"/>
          </w:tcPr>
          <w:p w14:paraId="54540BD0" w14:textId="77777777" w:rsidR="00B930BA" w:rsidRDefault="00000000">
            <w:pPr>
              <w:keepNext/>
              <w:keepLines/>
              <w:spacing w:after="0" w:line="240" w:lineRule="auto"/>
              <w:jc w:val="right"/>
            </w:pPr>
            <w:r>
              <w:rPr>
                <w:sz w:val="18"/>
              </w:rPr>
              <w:t>497.079,50</w:t>
            </w:r>
          </w:p>
        </w:tc>
        <w:tc>
          <w:tcPr>
            <w:tcW w:w="1860" w:type="dxa"/>
            <w:tcMar>
              <w:top w:w="0" w:type="dxa"/>
              <w:bottom w:w="0" w:type="dxa"/>
            </w:tcMar>
            <w:vAlign w:val="center"/>
          </w:tcPr>
          <w:p w14:paraId="375603CE" w14:textId="77777777" w:rsidR="00B930BA" w:rsidRDefault="00000000">
            <w:pPr>
              <w:keepNext/>
              <w:keepLines/>
              <w:spacing w:after="0" w:line="240" w:lineRule="auto"/>
              <w:jc w:val="right"/>
            </w:pPr>
            <w:r>
              <w:rPr>
                <w:sz w:val="18"/>
              </w:rPr>
              <w:t>563.908,54</w:t>
            </w:r>
          </w:p>
        </w:tc>
        <w:tc>
          <w:tcPr>
            <w:tcW w:w="700" w:type="dxa"/>
            <w:tcMar>
              <w:top w:w="0" w:type="dxa"/>
              <w:bottom w:w="0" w:type="dxa"/>
            </w:tcMar>
            <w:vAlign w:val="center"/>
          </w:tcPr>
          <w:p w14:paraId="79DCB61F" w14:textId="77777777" w:rsidR="00B930BA" w:rsidRDefault="00000000">
            <w:pPr>
              <w:keepNext/>
              <w:keepLines/>
              <w:spacing w:after="0" w:line="240" w:lineRule="auto"/>
              <w:jc w:val="right"/>
            </w:pPr>
            <w:r>
              <w:rPr>
                <w:sz w:val="18"/>
              </w:rPr>
              <w:t>113,4</w:t>
            </w:r>
          </w:p>
        </w:tc>
      </w:tr>
    </w:tbl>
    <w:p w14:paraId="78CE4810" w14:textId="77777777" w:rsidR="00B930BA" w:rsidRDefault="00B930BA">
      <w:pPr>
        <w:spacing w:after="0"/>
      </w:pPr>
    </w:p>
    <w:p w14:paraId="1CAF7CB5" w14:textId="77777777" w:rsidR="00B930BA" w:rsidRDefault="00000000">
      <w:r>
        <w:t>Ispravak vrijednosti postrojenja i opreme u 2025. godini iznosi 563.908,54 eura.</w:t>
      </w:r>
    </w:p>
    <w:p w14:paraId="134FFF01" w14:textId="77777777" w:rsidR="00B930BA" w:rsidRDefault="00B930BA"/>
    <w:p w14:paraId="7EF67545" w14:textId="77777777" w:rsidR="00B930BA"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A6B8D75" w14:textId="77777777">
        <w:trPr>
          <w:cantSplit/>
        </w:trPr>
        <w:tc>
          <w:tcPr>
            <w:tcW w:w="700" w:type="dxa"/>
            <w:shd w:val="clear" w:color="auto" w:fill="E7F0F9"/>
            <w:tcMar>
              <w:top w:w="0" w:type="dxa"/>
              <w:bottom w:w="0" w:type="dxa"/>
            </w:tcMar>
            <w:vAlign w:val="center"/>
          </w:tcPr>
          <w:p w14:paraId="4FFDC2D7"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2885CD"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A1DF32"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2FC2CD8"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5156B3"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77F128" w14:textId="77777777" w:rsidR="00B930BA" w:rsidRDefault="00000000">
            <w:pPr>
              <w:keepNext/>
              <w:keepLines/>
              <w:spacing w:after="0" w:line="240" w:lineRule="auto"/>
              <w:jc w:val="center"/>
            </w:pPr>
            <w:r>
              <w:rPr>
                <w:b/>
                <w:sz w:val="18"/>
              </w:rPr>
              <w:t>Indeks (%)</w:t>
            </w:r>
          </w:p>
        </w:tc>
      </w:tr>
      <w:tr w:rsidR="00B930BA" w14:paraId="30B5601B" w14:textId="77777777">
        <w:trPr>
          <w:cantSplit/>
          <w:trHeight w:val="560"/>
        </w:trPr>
        <w:tc>
          <w:tcPr>
            <w:tcW w:w="700" w:type="dxa"/>
            <w:tcMar>
              <w:top w:w="0" w:type="dxa"/>
              <w:bottom w:w="0" w:type="dxa"/>
            </w:tcMar>
            <w:vAlign w:val="center"/>
          </w:tcPr>
          <w:p w14:paraId="6B1E9A24" w14:textId="77777777" w:rsidR="00B930BA" w:rsidRDefault="00000000">
            <w:pPr>
              <w:keepNext/>
              <w:keepLines/>
              <w:spacing w:after="0" w:line="240" w:lineRule="auto"/>
            </w:pPr>
            <w:r>
              <w:rPr>
                <w:sz w:val="18"/>
              </w:rPr>
              <w:t>023 i 02923</w:t>
            </w:r>
          </w:p>
        </w:tc>
        <w:tc>
          <w:tcPr>
            <w:tcW w:w="3180" w:type="dxa"/>
            <w:tcMar>
              <w:top w:w="0" w:type="dxa"/>
              <w:bottom w:w="0" w:type="dxa"/>
            </w:tcMar>
            <w:vAlign w:val="center"/>
          </w:tcPr>
          <w:p w14:paraId="100C52B7" w14:textId="77777777" w:rsidR="00B930BA" w:rsidRDefault="00000000">
            <w:pPr>
              <w:keepNext/>
              <w:keepLines/>
              <w:spacing w:after="0" w:line="240" w:lineRule="auto"/>
            </w:pPr>
            <w:r>
              <w:rPr>
                <w:sz w:val="18"/>
              </w:rPr>
              <w:t>Prijevozna sredstva (šifre 0231 do 0234 - 02923)</w:t>
            </w:r>
          </w:p>
        </w:tc>
        <w:tc>
          <w:tcPr>
            <w:tcW w:w="700" w:type="dxa"/>
            <w:tcMar>
              <w:top w:w="0" w:type="dxa"/>
              <w:bottom w:w="0" w:type="dxa"/>
            </w:tcMar>
            <w:vAlign w:val="center"/>
          </w:tcPr>
          <w:p w14:paraId="43CDDEDE" w14:textId="77777777" w:rsidR="00B930BA" w:rsidRDefault="00000000">
            <w:pPr>
              <w:keepNext/>
              <w:keepLines/>
              <w:spacing w:after="0" w:line="240" w:lineRule="auto"/>
            </w:pPr>
            <w:r>
              <w:rPr>
                <w:sz w:val="18"/>
              </w:rPr>
              <w:t>023 i 02923</w:t>
            </w:r>
          </w:p>
        </w:tc>
        <w:tc>
          <w:tcPr>
            <w:tcW w:w="1860" w:type="dxa"/>
            <w:tcMar>
              <w:top w:w="0" w:type="dxa"/>
              <w:bottom w:w="0" w:type="dxa"/>
            </w:tcMar>
            <w:vAlign w:val="center"/>
          </w:tcPr>
          <w:p w14:paraId="4BEBC0D1" w14:textId="77777777" w:rsidR="00B930BA" w:rsidRDefault="00000000">
            <w:pPr>
              <w:keepNext/>
              <w:keepLines/>
              <w:spacing w:after="0" w:line="240" w:lineRule="auto"/>
              <w:jc w:val="right"/>
            </w:pPr>
            <w:r>
              <w:rPr>
                <w:sz w:val="18"/>
              </w:rPr>
              <w:t>17.485,36</w:t>
            </w:r>
          </w:p>
        </w:tc>
        <w:tc>
          <w:tcPr>
            <w:tcW w:w="1860" w:type="dxa"/>
            <w:tcMar>
              <w:top w:w="0" w:type="dxa"/>
              <w:bottom w:w="0" w:type="dxa"/>
            </w:tcMar>
            <w:vAlign w:val="center"/>
          </w:tcPr>
          <w:p w14:paraId="2E50E76C" w14:textId="77777777" w:rsidR="00B930BA" w:rsidRDefault="00000000">
            <w:pPr>
              <w:keepNext/>
              <w:keepLines/>
              <w:spacing w:after="0" w:line="240" w:lineRule="auto"/>
              <w:jc w:val="right"/>
            </w:pPr>
            <w:r>
              <w:rPr>
                <w:sz w:val="18"/>
              </w:rPr>
              <w:t>9.097,07</w:t>
            </w:r>
          </w:p>
        </w:tc>
        <w:tc>
          <w:tcPr>
            <w:tcW w:w="700" w:type="dxa"/>
            <w:tcMar>
              <w:top w:w="0" w:type="dxa"/>
              <w:bottom w:w="0" w:type="dxa"/>
            </w:tcMar>
            <w:vAlign w:val="center"/>
          </w:tcPr>
          <w:p w14:paraId="70CAD760" w14:textId="77777777" w:rsidR="00B930BA" w:rsidRDefault="00000000">
            <w:pPr>
              <w:keepNext/>
              <w:keepLines/>
              <w:spacing w:after="0" w:line="240" w:lineRule="auto"/>
              <w:jc w:val="right"/>
            </w:pPr>
            <w:r>
              <w:rPr>
                <w:sz w:val="18"/>
              </w:rPr>
              <w:t>52,0</w:t>
            </w:r>
          </w:p>
        </w:tc>
      </w:tr>
    </w:tbl>
    <w:p w14:paraId="3934CABE" w14:textId="77777777" w:rsidR="00B930BA" w:rsidRDefault="00B930BA">
      <w:pPr>
        <w:spacing w:after="0"/>
      </w:pPr>
    </w:p>
    <w:p w14:paraId="3952BA2F" w14:textId="77777777" w:rsidR="00B930BA" w:rsidRDefault="00000000">
      <w:r>
        <w:t>Šifra 023 i 02923 - prijevozna sredstva u cestovnom prometu - stanje na dan 01.01. je 17.485,36 eura, a 31.12. iznosi 9.097,07 eura što je razlika između vrijednosti nabavljenih prijevoznih sredstava i ispravka vrijednosti.  </w:t>
      </w:r>
    </w:p>
    <w:p w14:paraId="35BD6AC7" w14:textId="77777777" w:rsidR="00B930BA" w:rsidRDefault="00B930BA"/>
    <w:p w14:paraId="3EB615A1" w14:textId="77777777" w:rsidR="00B930BA"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9189257" w14:textId="77777777">
        <w:trPr>
          <w:cantSplit/>
        </w:trPr>
        <w:tc>
          <w:tcPr>
            <w:tcW w:w="700" w:type="dxa"/>
            <w:shd w:val="clear" w:color="auto" w:fill="E7F0F9"/>
            <w:tcMar>
              <w:top w:w="0" w:type="dxa"/>
              <w:bottom w:w="0" w:type="dxa"/>
            </w:tcMar>
            <w:vAlign w:val="center"/>
          </w:tcPr>
          <w:p w14:paraId="6A68AA50"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5A9D52"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523FF6"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6C8CCC"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622C13"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41B70F" w14:textId="77777777" w:rsidR="00B930BA" w:rsidRDefault="00000000">
            <w:pPr>
              <w:keepNext/>
              <w:keepLines/>
              <w:spacing w:after="0" w:line="240" w:lineRule="auto"/>
              <w:jc w:val="center"/>
            </w:pPr>
            <w:r>
              <w:rPr>
                <w:b/>
                <w:sz w:val="18"/>
              </w:rPr>
              <w:t>Indeks (%)</w:t>
            </w:r>
          </w:p>
        </w:tc>
      </w:tr>
      <w:tr w:rsidR="00B930BA" w14:paraId="1E1F9D7A" w14:textId="77777777">
        <w:trPr>
          <w:cantSplit/>
          <w:trHeight w:val="560"/>
        </w:trPr>
        <w:tc>
          <w:tcPr>
            <w:tcW w:w="700" w:type="dxa"/>
            <w:tcMar>
              <w:top w:w="0" w:type="dxa"/>
              <w:bottom w:w="0" w:type="dxa"/>
            </w:tcMar>
            <w:vAlign w:val="center"/>
          </w:tcPr>
          <w:p w14:paraId="1EB2EFEB" w14:textId="77777777" w:rsidR="00B930BA" w:rsidRDefault="00000000">
            <w:pPr>
              <w:keepNext/>
              <w:keepLines/>
              <w:spacing w:after="0" w:line="240" w:lineRule="auto"/>
            </w:pPr>
            <w:r>
              <w:rPr>
                <w:sz w:val="18"/>
              </w:rPr>
              <w:t>02923</w:t>
            </w:r>
          </w:p>
        </w:tc>
        <w:tc>
          <w:tcPr>
            <w:tcW w:w="3180" w:type="dxa"/>
            <w:tcMar>
              <w:top w:w="0" w:type="dxa"/>
              <w:bottom w:w="0" w:type="dxa"/>
            </w:tcMar>
            <w:vAlign w:val="center"/>
          </w:tcPr>
          <w:p w14:paraId="51AADBD1" w14:textId="77777777" w:rsidR="00B930BA" w:rsidRDefault="00000000">
            <w:pPr>
              <w:keepNext/>
              <w:keepLines/>
              <w:spacing w:after="0" w:line="240" w:lineRule="auto"/>
            </w:pPr>
            <w:r>
              <w:rPr>
                <w:sz w:val="18"/>
              </w:rPr>
              <w:t>Ispravak vrijednosti prijevoznih sredstava</w:t>
            </w:r>
          </w:p>
        </w:tc>
        <w:tc>
          <w:tcPr>
            <w:tcW w:w="700" w:type="dxa"/>
            <w:tcMar>
              <w:top w:w="0" w:type="dxa"/>
              <w:bottom w:w="0" w:type="dxa"/>
            </w:tcMar>
            <w:vAlign w:val="center"/>
          </w:tcPr>
          <w:p w14:paraId="22BFCBC7" w14:textId="77777777" w:rsidR="00B930BA" w:rsidRDefault="00000000">
            <w:pPr>
              <w:keepNext/>
              <w:keepLines/>
              <w:spacing w:after="0" w:line="240" w:lineRule="auto"/>
            </w:pPr>
            <w:r>
              <w:rPr>
                <w:sz w:val="18"/>
              </w:rPr>
              <w:t>02923</w:t>
            </w:r>
          </w:p>
        </w:tc>
        <w:tc>
          <w:tcPr>
            <w:tcW w:w="1860" w:type="dxa"/>
            <w:tcMar>
              <w:top w:w="0" w:type="dxa"/>
              <w:bottom w:w="0" w:type="dxa"/>
            </w:tcMar>
            <w:vAlign w:val="center"/>
          </w:tcPr>
          <w:p w14:paraId="32F94585" w14:textId="77777777" w:rsidR="00B930BA" w:rsidRDefault="00000000">
            <w:pPr>
              <w:keepNext/>
              <w:keepLines/>
              <w:spacing w:after="0" w:line="240" w:lineRule="auto"/>
              <w:jc w:val="right"/>
            </w:pPr>
            <w:r>
              <w:rPr>
                <w:sz w:val="18"/>
              </w:rPr>
              <w:t>65.249,65</w:t>
            </w:r>
          </w:p>
        </w:tc>
        <w:tc>
          <w:tcPr>
            <w:tcW w:w="1860" w:type="dxa"/>
            <w:tcMar>
              <w:top w:w="0" w:type="dxa"/>
              <w:bottom w:w="0" w:type="dxa"/>
            </w:tcMar>
            <w:vAlign w:val="center"/>
          </w:tcPr>
          <w:p w14:paraId="1FECC9F3" w14:textId="77777777" w:rsidR="00B930BA" w:rsidRDefault="00000000">
            <w:pPr>
              <w:keepNext/>
              <w:keepLines/>
              <w:spacing w:after="0" w:line="240" w:lineRule="auto"/>
              <w:jc w:val="right"/>
            </w:pPr>
            <w:r>
              <w:rPr>
                <w:sz w:val="18"/>
              </w:rPr>
              <w:t>73.637,94</w:t>
            </w:r>
          </w:p>
        </w:tc>
        <w:tc>
          <w:tcPr>
            <w:tcW w:w="700" w:type="dxa"/>
            <w:tcMar>
              <w:top w:w="0" w:type="dxa"/>
              <w:bottom w:w="0" w:type="dxa"/>
            </w:tcMar>
            <w:vAlign w:val="center"/>
          </w:tcPr>
          <w:p w14:paraId="5A0C1F74" w14:textId="77777777" w:rsidR="00B930BA" w:rsidRDefault="00000000">
            <w:pPr>
              <w:keepNext/>
              <w:keepLines/>
              <w:spacing w:after="0" w:line="240" w:lineRule="auto"/>
              <w:jc w:val="right"/>
            </w:pPr>
            <w:r>
              <w:rPr>
                <w:sz w:val="18"/>
              </w:rPr>
              <w:t>112,9</w:t>
            </w:r>
          </w:p>
        </w:tc>
      </w:tr>
    </w:tbl>
    <w:p w14:paraId="3DE92038" w14:textId="77777777" w:rsidR="00B930BA" w:rsidRDefault="00B930BA">
      <w:pPr>
        <w:spacing w:after="0"/>
      </w:pPr>
    </w:p>
    <w:p w14:paraId="3385E873" w14:textId="77777777" w:rsidR="00B930BA" w:rsidRDefault="00000000">
      <w:r>
        <w:t>Ispravak vrijednosti prijevoznih sredstava u 2025. godini iznosi 73.637,94 eura.</w:t>
      </w:r>
    </w:p>
    <w:p w14:paraId="33335108" w14:textId="77777777" w:rsidR="00B930BA" w:rsidRDefault="00B930BA"/>
    <w:p w14:paraId="52B85DCC" w14:textId="77777777" w:rsidR="00B930BA"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94D26C2" w14:textId="77777777">
        <w:trPr>
          <w:cantSplit/>
        </w:trPr>
        <w:tc>
          <w:tcPr>
            <w:tcW w:w="700" w:type="dxa"/>
            <w:shd w:val="clear" w:color="auto" w:fill="E7F0F9"/>
            <w:tcMar>
              <w:top w:w="0" w:type="dxa"/>
              <w:bottom w:w="0" w:type="dxa"/>
            </w:tcMar>
            <w:vAlign w:val="center"/>
          </w:tcPr>
          <w:p w14:paraId="05F3364D"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76DD9F"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20F8B4"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F1BFFF"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D5F72BA"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1C12249" w14:textId="77777777" w:rsidR="00B930BA" w:rsidRDefault="00000000">
            <w:pPr>
              <w:keepNext/>
              <w:keepLines/>
              <w:spacing w:after="0" w:line="240" w:lineRule="auto"/>
              <w:jc w:val="center"/>
            </w:pPr>
            <w:r>
              <w:rPr>
                <w:b/>
                <w:sz w:val="18"/>
              </w:rPr>
              <w:t>Indeks (%)</w:t>
            </w:r>
          </w:p>
        </w:tc>
      </w:tr>
      <w:tr w:rsidR="00B930BA" w14:paraId="57722A7E" w14:textId="77777777">
        <w:trPr>
          <w:cantSplit/>
          <w:trHeight w:val="560"/>
        </w:trPr>
        <w:tc>
          <w:tcPr>
            <w:tcW w:w="700" w:type="dxa"/>
            <w:tcMar>
              <w:top w:w="0" w:type="dxa"/>
              <w:bottom w:w="0" w:type="dxa"/>
            </w:tcMar>
            <w:vAlign w:val="center"/>
          </w:tcPr>
          <w:p w14:paraId="0FD4AAF5" w14:textId="77777777" w:rsidR="00B930BA" w:rsidRDefault="00000000">
            <w:pPr>
              <w:keepNext/>
              <w:keepLines/>
              <w:spacing w:after="0" w:line="240" w:lineRule="auto"/>
            </w:pPr>
            <w:r>
              <w:rPr>
                <w:sz w:val="18"/>
              </w:rPr>
              <w:t>026 i 02926</w:t>
            </w:r>
          </w:p>
        </w:tc>
        <w:tc>
          <w:tcPr>
            <w:tcW w:w="3180" w:type="dxa"/>
            <w:tcMar>
              <w:top w:w="0" w:type="dxa"/>
              <w:bottom w:w="0" w:type="dxa"/>
            </w:tcMar>
            <w:vAlign w:val="center"/>
          </w:tcPr>
          <w:p w14:paraId="6CAF419B" w14:textId="77777777" w:rsidR="00B930BA" w:rsidRDefault="00000000">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1A74D7E3" w14:textId="77777777" w:rsidR="00B930BA" w:rsidRDefault="00000000">
            <w:pPr>
              <w:keepNext/>
              <w:keepLines/>
              <w:spacing w:after="0" w:line="240" w:lineRule="auto"/>
            </w:pPr>
            <w:r>
              <w:rPr>
                <w:sz w:val="18"/>
              </w:rPr>
              <w:t>026 i 02926</w:t>
            </w:r>
          </w:p>
        </w:tc>
        <w:tc>
          <w:tcPr>
            <w:tcW w:w="1860" w:type="dxa"/>
            <w:tcMar>
              <w:top w:w="0" w:type="dxa"/>
              <w:bottom w:w="0" w:type="dxa"/>
            </w:tcMar>
            <w:vAlign w:val="center"/>
          </w:tcPr>
          <w:p w14:paraId="0F8AED9E" w14:textId="77777777" w:rsidR="00B930BA" w:rsidRDefault="00000000">
            <w:pPr>
              <w:keepNext/>
              <w:keepLines/>
              <w:spacing w:after="0" w:line="240" w:lineRule="auto"/>
              <w:jc w:val="right"/>
            </w:pPr>
            <w:r>
              <w:rPr>
                <w:sz w:val="18"/>
              </w:rPr>
              <w:t>84.518,57</w:t>
            </w:r>
          </w:p>
        </w:tc>
        <w:tc>
          <w:tcPr>
            <w:tcW w:w="1860" w:type="dxa"/>
            <w:tcMar>
              <w:top w:w="0" w:type="dxa"/>
              <w:bottom w:w="0" w:type="dxa"/>
            </w:tcMar>
            <w:vAlign w:val="center"/>
          </w:tcPr>
          <w:p w14:paraId="5FCA8B2E" w14:textId="77777777" w:rsidR="00B930BA" w:rsidRDefault="00000000">
            <w:pPr>
              <w:keepNext/>
              <w:keepLines/>
              <w:spacing w:after="0" w:line="240" w:lineRule="auto"/>
              <w:jc w:val="right"/>
            </w:pPr>
            <w:r>
              <w:rPr>
                <w:sz w:val="18"/>
              </w:rPr>
              <w:t>83.271,49</w:t>
            </w:r>
          </w:p>
        </w:tc>
        <w:tc>
          <w:tcPr>
            <w:tcW w:w="700" w:type="dxa"/>
            <w:tcMar>
              <w:top w:w="0" w:type="dxa"/>
              <w:bottom w:w="0" w:type="dxa"/>
            </w:tcMar>
            <w:vAlign w:val="center"/>
          </w:tcPr>
          <w:p w14:paraId="784A5A2B" w14:textId="77777777" w:rsidR="00B930BA" w:rsidRDefault="00000000">
            <w:pPr>
              <w:keepNext/>
              <w:keepLines/>
              <w:spacing w:after="0" w:line="240" w:lineRule="auto"/>
              <w:jc w:val="right"/>
            </w:pPr>
            <w:r>
              <w:rPr>
                <w:sz w:val="18"/>
              </w:rPr>
              <w:t>98,5</w:t>
            </w:r>
          </w:p>
        </w:tc>
      </w:tr>
    </w:tbl>
    <w:p w14:paraId="51D4FBD0" w14:textId="77777777" w:rsidR="00B930BA" w:rsidRDefault="00B930BA">
      <w:pPr>
        <w:spacing w:after="0"/>
      </w:pPr>
    </w:p>
    <w:p w14:paraId="72CD44CF" w14:textId="77777777" w:rsidR="00B930BA" w:rsidRDefault="00000000">
      <w:r>
        <w:t>Šifra 026 i 02926 - nematerijalna proizvedena imovina - stanje na dan 01.01. je 84.518,57 eura, a 31.12. iznosi 83.271,49 eura što je razlika između vrijednosti nabavljene nematerijalne imovine i ispravka vrijednosti. U izvještajnom razdoblju izrađene su izmjene i dopune Urbanističkog plana uređenja dijela naselja Lepoglava i glavni projekt i troškovnik za fontanu.</w:t>
      </w:r>
    </w:p>
    <w:p w14:paraId="47D5A8C4" w14:textId="77777777" w:rsidR="00B930BA" w:rsidRDefault="00B930BA"/>
    <w:p w14:paraId="6AB852DF" w14:textId="77777777" w:rsidR="00B930BA"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ECB4C6A" w14:textId="77777777">
        <w:trPr>
          <w:cantSplit/>
        </w:trPr>
        <w:tc>
          <w:tcPr>
            <w:tcW w:w="700" w:type="dxa"/>
            <w:shd w:val="clear" w:color="auto" w:fill="E7F0F9"/>
            <w:tcMar>
              <w:top w:w="0" w:type="dxa"/>
              <w:bottom w:w="0" w:type="dxa"/>
            </w:tcMar>
            <w:vAlign w:val="center"/>
          </w:tcPr>
          <w:p w14:paraId="3C5035E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302F7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AA914"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550FA6"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4633AA"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38CADD" w14:textId="77777777" w:rsidR="00B930BA" w:rsidRDefault="00000000">
            <w:pPr>
              <w:keepNext/>
              <w:keepLines/>
              <w:spacing w:after="0" w:line="240" w:lineRule="auto"/>
              <w:jc w:val="center"/>
            </w:pPr>
            <w:r>
              <w:rPr>
                <w:b/>
                <w:sz w:val="18"/>
              </w:rPr>
              <w:t>Indeks (%)</w:t>
            </w:r>
          </w:p>
        </w:tc>
      </w:tr>
      <w:tr w:rsidR="00B930BA" w14:paraId="5939D51A" w14:textId="77777777">
        <w:trPr>
          <w:cantSplit/>
          <w:trHeight w:val="560"/>
        </w:trPr>
        <w:tc>
          <w:tcPr>
            <w:tcW w:w="700" w:type="dxa"/>
            <w:tcMar>
              <w:top w:w="0" w:type="dxa"/>
              <w:bottom w:w="0" w:type="dxa"/>
            </w:tcMar>
            <w:vAlign w:val="center"/>
          </w:tcPr>
          <w:p w14:paraId="283F46F7" w14:textId="77777777" w:rsidR="00B930BA" w:rsidRDefault="00000000">
            <w:pPr>
              <w:keepNext/>
              <w:keepLines/>
              <w:spacing w:after="0" w:line="240" w:lineRule="auto"/>
            </w:pPr>
            <w:r>
              <w:rPr>
                <w:sz w:val="18"/>
              </w:rPr>
              <w:t>02926</w:t>
            </w:r>
          </w:p>
        </w:tc>
        <w:tc>
          <w:tcPr>
            <w:tcW w:w="3180" w:type="dxa"/>
            <w:tcMar>
              <w:top w:w="0" w:type="dxa"/>
              <w:bottom w:w="0" w:type="dxa"/>
            </w:tcMar>
            <w:vAlign w:val="center"/>
          </w:tcPr>
          <w:p w14:paraId="1E923E03" w14:textId="77777777" w:rsidR="00B930BA" w:rsidRDefault="00000000">
            <w:pPr>
              <w:keepNext/>
              <w:keepLines/>
              <w:spacing w:after="0" w:line="240" w:lineRule="auto"/>
            </w:pPr>
            <w:r>
              <w:rPr>
                <w:sz w:val="18"/>
              </w:rPr>
              <w:t>Ispravak vrijednosti nematerijalne proizvedene imovine</w:t>
            </w:r>
          </w:p>
        </w:tc>
        <w:tc>
          <w:tcPr>
            <w:tcW w:w="700" w:type="dxa"/>
            <w:tcMar>
              <w:top w:w="0" w:type="dxa"/>
              <w:bottom w:w="0" w:type="dxa"/>
            </w:tcMar>
            <w:vAlign w:val="center"/>
          </w:tcPr>
          <w:p w14:paraId="6B61A91E" w14:textId="77777777" w:rsidR="00B930BA" w:rsidRDefault="00000000">
            <w:pPr>
              <w:keepNext/>
              <w:keepLines/>
              <w:spacing w:after="0" w:line="240" w:lineRule="auto"/>
            </w:pPr>
            <w:r>
              <w:rPr>
                <w:sz w:val="18"/>
              </w:rPr>
              <w:t>02926</w:t>
            </w:r>
          </w:p>
        </w:tc>
        <w:tc>
          <w:tcPr>
            <w:tcW w:w="1860" w:type="dxa"/>
            <w:tcMar>
              <w:top w:w="0" w:type="dxa"/>
              <w:bottom w:w="0" w:type="dxa"/>
            </w:tcMar>
            <w:vAlign w:val="center"/>
          </w:tcPr>
          <w:p w14:paraId="1CA1CE4D" w14:textId="77777777" w:rsidR="00B930BA" w:rsidRDefault="00000000">
            <w:pPr>
              <w:keepNext/>
              <w:keepLines/>
              <w:spacing w:after="0" w:line="240" w:lineRule="auto"/>
              <w:jc w:val="right"/>
            </w:pPr>
            <w:r>
              <w:rPr>
                <w:sz w:val="18"/>
              </w:rPr>
              <w:t>306.048,65</w:t>
            </w:r>
          </w:p>
        </w:tc>
        <w:tc>
          <w:tcPr>
            <w:tcW w:w="1860" w:type="dxa"/>
            <w:tcMar>
              <w:top w:w="0" w:type="dxa"/>
              <w:bottom w:w="0" w:type="dxa"/>
            </w:tcMar>
            <w:vAlign w:val="center"/>
          </w:tcPr>
          <w:p w14:paraId="067410C1" w14:textId="77777777" w:rsidR="00B930BA" w:rsidRDefault="00000000">
            <w:pPr>
              <w:keepNext/>
              <w:keepLines/>
              <w:spacing w:after="0" w:line="240" w:lineRule="auto"/>
              <w:jc w:val="right"/>
            </w:pPr>
            <w:r>
              <w:rPr>
                <w:sz w:val="18"/>
              </w:rPr>
              <w:t>331.770,73</w:t>
            </w:r>
          </w:p>
        </w:tc>
        <w:tc>
          <w:tcPr>
            <w:tcW w:w="700" w:type="dxa"/>
            <w:tcMar>
              <w:top w:w="0" w:type="dxa"/>
              <w:bottom w:w="0" w:type="dxa"/>
            </w:tcMar>
            <w:vAlign w:val="center"/>
          </w:tcPr>
          <w:p w14:paraId="2DB3791B" w14:textId="77777777" w:rsidR="00B930BA" w:rsidRDefault="00000000">
            <w:pPr>
              <w:keepNext/>
              <w:keepLines/>
              <w:spacing w:after="0" w:line="240" w:lineRule="auto"/>
              <w:jc w:val="right"/>
            </w:pPr>
            <w:r>
              <w:rPr>
                <w:sz w:val="18"/>
              </w:rPr>
              <w:t>108,4</w:t>
            </w:r>
          </w:p>
        </w:tc>
      </w:tr>
    </w:tbl>
    <w:p w14:paraId="1AB12D8D" w14:textId="77777777" w:rsidR="00B930BA" w:rsidRDefault="00B930BA">
      <w:pPr>
        <w:spacing w:after="0"/>
      </w:pPr>
    </w:p>
    <w:p w14:paraId="1A2D2B4E" w14:textId="77777777" w:rsidR="00B930BA" w:rsidRDefault="00000000">
      <w:r>
        <w:t>Ispravak vrijednosti nematerijalne proizvedene imovine u 2025. godini iznosi 331.770,73 eura.</w:t>
      </w:r>
    </w:p>
    <w:p w14:paraId="51E301D6" w14:textId="77777777" w:rsidR="00B930BA" w:rsidRDefault="00B930BA"/>
    <w:p w14:paraId="0CCA58EB" w14:textId="77777777" w:rsidR="00B930BA"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5C75DDD" w14:textId="77777777">
        <w:trPr>
          <w:cantSplit/>
        </w:trPr>
        <w:tc>
          <w:tcPr>
            <w:tcW w:w="700" w:type="dxa"/>
            <w:shd w:val="clear" w:color="auto" w:fill="E7F0F9"/>
            <w:tcMar>
              <w:top w:w="0" w:type="dxa"/>
              <w:bottom w:w="0" w:type="dxa"/>
            </w:tcMar>
            <w:vAlign w:val="center"/>
          </w:tcPr>
          <w:p w14:paraId="49C1F19C"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5EB707"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A05AB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C4E9C8"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3498C8E"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7A1D079" w14:textId="77777777" w:rsidR="00B930BA" w:rsidRDefault="00000000">
            <w:pPr>
              <w:keepNext/>
              <w:keepLines/>
              <w:spacing w:after="0" w:line="240" w:lineRule="auto"/>
              <w:jc w:val="center"/>
            </w:pPr>
            <w:r>
              <w:rPr>
                <w:b/>
                <w:sz w:val="18"/>
              </w:rPr>
              <w:t>Indeks (%)</w:t>
            </w:r>
          </w:p>
        </w:tc>
      </w:tr>
      <w:tr w:rsidR="00B930BA" w14:paraId="1CE98748" w14:textId="77777777">
        <w:trPr>
          <w:cantSplit/>
          <w:trHeight w:val="560"/>
        </w:trPr>
        <w:tc>
          <w:tcPr>
            <w:tcW w:w="700" w:type="dxa"/>
            <w:tcMar>
              <w:top w:w="0" w:type="dxa"/>
              <w:bottom w:w="0" w:type="dxa"/>
            </w:tcMar>
            <w:vAlign w:val="center"/>
          </w:tcPr>
          <w:p w14:paraId="2C68D20F" w14:textId="77777777" w:rsidR="00B930BA" w:rsidRDefault="00000000">
            <w:pPr>
              <w:keepNext/>
              <w:keepLines/>
              <w:spacing w:after="0" w:line="240" w:lineRule="auto"/>
            </w:pPr>
            <w:r>
              <w:rPr>
                <w:sz w:val="18"/>
              </w:rPr>
              <w:t>042</w:t>
            </w:r>
          </w:p>
        </w:tc>
        <w:tc>
          <w:tcPr>
            <w:tcW w:w="3180" w:type="dxa"/>
            <w:tcMar>
              <w:top w:w="0" w:type="dxa"/>
              <w:bottom w:w="0" w:type="dxa"/>
            </w:tcMar>
            <w:vAlign w:val="center"/>
          </w:tcPr>
          <w:p w14:paraId="4C4F5D12" w14:textId="77777777" w:rsidR="00B930BA" w:rsidRDefault="00000000">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14:paraId="1BB24A4B" w14:textId="77777777" w:rsidR="00B930BA" w:rsidRDefault="00000000">
            <w:pPr>
              <w:keepNext/>
              <w:keepLines/>
              <w:spacing w:after="0" w:line="240" w:lineRule="auto"/>
            </w:pPr>
            <w:r>
              <w:rPr>
                <w:sz w:val="18"/>
              </w:rPr>
              <w:t>042</w:t>
            </w:r>
          </w:p>
        </w:tc>
        <w:tc>
          <w:tcPr>
            <w:tcW w:w="1860" w:type="dxa"/>
            <w:tcMar>
              <w:top w:w="0" w:type="dxa"/>
              <w:bottom w:w="0" w:type="dxa"/>
            </w:tcMar>
            <w:vAlign w:val="center"/>
          </w:tcPr>
          <w:p w14:paraId="21D8CF0D" w14:textId="77777777" w:rsidR="00B930BA" w:rsidRDefault="00000000">
            <w:pPr>
              <w:keepNext/>
              <w:keepLines/>
              <w:spacing w:after="0" w:line="240" w:lineRule="auto"/>
              <w:jc w:val="right"/>
            </w:pPr>
            <w:r>
              <w:rPr>
                <w:sz w:val="18"/>
              </w:rPr>
              <w:t>320.924,06</w:t>
            </w:r>
          </w:p>
        </w:tc>
        <w:tc>
          <w:tcPr>
            <w:tcW w:w="1860" w:type="dxa"/>
            <w:tcMar>
              <w:top w:w="0" w:type="dxa"/>
              <w:bottom w:w="0" w:type="dxa"/>
            </w:tcMar>
            <w:vAlign w:val="center"/>
          </w:tcPr>
          <w:p w14:paraId="158BFB38" w14:textId="77777777" w:rsidR="00B930BA" w:rsidRDefault="00000000">
            <w:pPr>
              <w:keepNext/>
              <w:keepLines/>
              <w:spacing w:after="0" w:line="240" w:lineRule="auto"/>
              <w:jc w:val="right"/>
            </w:pPr>
            <w:r>
              <w:rPr>
                <w:sz w:val="18"/>
              </w:rPr>
              <w:t>359.149,31</w:t>
            </w:r>
          </w:p>
        </w:tc>
        <w:tc>
          <w:tcPr>
            <w:tcW w:w="700" w:type="dxa"/>
            <w:tcMar>
              <w:top w:w="0" w:type="dxa"/>
              <w:bottom w:w="0" w:type="dxa"/>
            </w:tcMar>
            <w:vAlign w:val="center"/>
          </w:tcPr>
          <w:p w14:paraId="3631507C" w14:textId="77777777" w:rsidR="00B930BA" w:rsidRDefault="00000000">
            <w:pPr>
              <w:keepNext/>
              <w:keepLines/>
              <w:spacing w:after="0" w:line="240" w:lineRule="auto"/>
              <w:jc w:val="right"/>
            </w:pPr>
            <w:r>
              <w:rPr>
                <w:sz w:val="18"/>
              </w:rPr>
              <w:t>111,9</w:t>
            </w:r>
          </w:p>
        </w:tc>
      </w:tr>
    </w:tbl>
    <w:p w14:paraId="45F78DA7" w14:textId="77777777" w:rsidR="00B930BA" w:rsidRDefault="00B930BA">
      <w:pPr>
        <w:spacing w:after="0"/>
      </w:pPr>
    </w:p>
    <w:p w14:paraId="450217DC" w14:textId="77777777" w:rsidR="00B930BA" w:rsidRDefault="00000000">
      <w:r>
        <w:t>Šifra 042 - sitni inventar i auto gume u upotrebi - u 2025. godini nabavljen je sitni inventar u vrijednosti 38.225,25 eura.</w:t>
      </w:r>
    </w:p>
    <w:p w14:paraId="7C5A24BD" w14:textId="77777777" w:rsidR="00B930BA" w:rsidRDefault="00B930BA"/>
    <w:p w14:paraId="2940745A" w14:textId="77777777" w:rsidR="00B930BA"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19126D9" w14:textId="77777777">
        <w:trPr>
          <w:cantSplit/>
        </w:trPr>
        <w:tc>
          <w:tcPr>
            <w:tcW w:w="700" w:type="dxa"/>
            <w:shd w:val="clear" w:color="auto" w:fill="E7F0F9"/>
            <w:tcMar>
              <w:top w:w="0" w:type="dxa"/>
              <w:bottom w:w="0" w:type="dxa"/>
            </w:tcMar>
            <w:vAlign w:val="center"/>
          </w:tcPr>
          <w:p w14:paraId="28BC66C1"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BECD95"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E1B44E"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CEF2BE"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F435E21"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7F0289" w14:textId="77777777" w:rsidR="00B930BA" w:rsidRDefault="00000000">
            <w:pPr>
              <w:keepNext/>
              <w:keepLines/>
              <w:spacing w:after="0" w:line="240" w:lineRule="auto"/>
              <w:jc w:val="center"/>
            </w:pPr>
            <w:r>
              <w:rPr>
                <w:b/>
                <w:sz w:val="18"/>
              </w:rPr>
              <w:t>Indeks (%)</w:t>
            </w:r>
          </w:p>
        </w:tc>
      </w:tr>
      <w:tr w:rsidR="00B930BA" w14:paraId="778BE7AA" w14:textId="77777777">
        <w:trPr>
          <w:cantSplit/>
          <w:trHeight w:val="560"/>
        </w:trPr>
        <w:tc>
          <w:tcPr>
            <w:tcW w:w="700" w:type="dxa"/>
            <w:tcMar>
              <w:top w:w="0" w:type="dxa"/>
              <w:bottom w:w="0" w:type="dxa"/>
            </w:tcMar>
            <w:vAlign w:val="center"/>
          </w:tcPr>
          <w:p w14:paraId="288C2DF2" w14:textId="77777777" w:rsidR="00B930BA" w:rsidRDefault="00000000">
            <w:pPr>
              <w:keepNext/>
              <w:keepLines/>
              <w:spacing w:after="0" w:line="240" w:lineRule="auto"/>
            </w:pPr>
            <w:r>
              <w:rPr>
                <w:sz w:val="18"/>
              </w:rPr>
              <w:t>05</w:t>
            </w:r>
          </w:p>
        </w:tc>
        <w:tc>
          <w:tcPr>
            <w:tcW w:w="3180" w:type="dxa"/>
            <w:tcMar>
              <w:top w:w="0" w:type="dxa"/>
              <w:bottom w:w="0" w:type="dxa"/>
            </w:tcMar>
            <w:vAlign w:val="center"/>
          </w:tcPr>
          <w:p w14:paraId="24CB71F6" w14:textId="77777777" w:rsidR="00B930BA"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2BDFA410" w14:textId="77777777" w:rsidR="00B930BA" w:rsidRDefault="00000000">
            <w:pPr>
              <w:keepNext/>
              <w:keepLines/>
              <w:spacing w:after="0" w:line="240" w:lineRule="auto"/>
            </w:pPr>
            <w:r>
              <w:rPr>
                <w:sz w:val="18"/>
              </w:rPr>
              <w:t>05</w:t>
            </w:r>
          </w:p>
        </w:tc>
        <w:tc>
          <w:tcPr>
            <w:tcW w:w="1860" w:type="dxa"/>
            <w:tcMar>
              <w:top w:w="0" w:type="dxa"/>
              <w:bottom w:w="0" w:type="dxa"/>
            </w:tcMar>
            <w:vAlign w:val="center"/>
          </w:tcPr>
          <w:p w14:paraId="3DA5CE68" w14:textId="77777777" w:rsidR="00B930BA" w:rsidRDefault="00000000">
            <w:pPr>
              <w:keepNext/>
              <w:keepLines/>
              <w:spacing w:after="0" w:line="240" w:lineRule="auto"/>
              <w:jc w:val="right"/>
            </w:pPr>
            <w:r>
              <w:rPr>
                <w:sz w:val="18"/>
              </w:rPr>
              <w:t>414.467,72</w:t>
            </w:r>
          </w:p>
        </w:tc>
        <w:tc>
          <w:tcPr>
            <w:tcW w:w="1860" w:type="dxa"/>
            <w:tcMar>
              <w:top w:w="0" w:type="dxa"/>
              <w:bottom w:w="0" w:type="dxa"/>
            </w:tcMar>
            <w:vAlign w:val="center"/>
          </w:tcPr>
          <w:p w14:paraId="1CEC4865" w14:textId="77777777" w:rsidR="00B930BA" w:rsidRDefault="00000000">
            <w:pPr>
              <w:keepNext/>
              <w:keepLines/>
              <w:spacing w:after="0" w:line="240" w:lineRule="auto"/>
              <w:jc w:val="right"/>
            </w:pPr>
            <w:r>
              <w:rPr>
                <w:sz w:val="18"/>
              </w:rPr>
              <w:t>444.374,84</w:t>
            </w:r>
          </w:p>
        </w:tc>
        <w:tc>
          <w:tcPr>
            <w:tcW w:w="700" w:type="dxa"/>
            <w:tcMar>
              <w:top w:w="0" w:type="dxa"/>
              <w:bottom w:w="0" w:type="dxa"/>
            </w:tcMar>
            <w:vAlign w:val="center"/>
          </w:tcPr>
          <w:p w14:paraId="2FA211A6" w14:textId="77777777" w:rsidR="00B930BA" w:rsidRDefault="00000000">
            <w:pPr>
              <w:keepNext/>
              <w:keepLines/>
              <w:spacing w:after="0" w:line="240" w:lineRule="auto"/>
              <w:jc w:val="right"/>
            </w:pPr>
            <w:r>
              <w:rPr>
                <w:sz w:val="18"/>
              </w:rPr>
              <w:t>107,2</w:t>
            </w:r>
          </w:p>
        </w:tc>
      </w:tr>
    </w:tbl>
    <w:p w14:paraId="4D436735" w14:textId="77777777" w:rsidR="00B930BA" w:rsidRDefault="00B930BA">
      <w:pPr>
        <w:spacing w:after="0"/>
      </w:pPr>
    </w:p>
    <w:p w14:paraId="2DDB3F3C" w14:textId="77777777" w:rsidR="00B930BA" w:rsidRDefault="00000000">
      <w:r>
        <w:t>Šifra 05 - dugotrajna nefinancijska imovina u pripremi - vrijednost imovine bilježi povećanje za 29.907,12 eura što čini razliku između ukupne vrijednosti ulaganja u dugotrajnu nefinancijsku imovinu u pripremi i prijenosa imovine u upotrebu po dovršetku ulaganja u građevinske objekte. Stanje na dan 01.01.2025. godine iznosi 414.467,72 eura, a tijekom 2025. godine izvršena su ulaganja u građevinske objekte u pripremi.</w:t>
      </w:r>
    </w:p>
    <w:p w14:paraId="4F15B89D" w14:textId="77777777" w:rsidR="00B930BA" w:rsidRDefault="00B930BA"/>
    <w:p w14:paraId="0F583462" w14:textId="77777777" w:rsidR="00B930BA"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E0D7079" w14:textId="77777777">
        <w:trPr>
          <w:cantSplit/>
        </w:trPr>
        <w:tc>
          <w:tcPr>
            <w:tcW w:w="700" w:type="dxa"/>
            <w:shd w:val="clear" w:color="auto" w:fill="E7F0F9"/>
            <w:tcMar>
              <w:top w:w="0" w:type="dxa"/>
              <w:bottom w:w="0" w:type="dxa"/>
            </w:tcMar>
            <w:vAlign w:val="center"/>
          </w:tcPr>
          <w:p w14:paraId="45DE42CE"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AB5C34E"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128BD0"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8A636F"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C156DFE"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298CDB" w14:textId="77777777" w:rsidR="00B930BA" w:rsidRDefault="00000000">
            <w:pPr>
              <w:keepNext/>
              <w:keepLines/>
              <w:spacing w:after="0" w:line="240" w:lineRule="auto"/>
              <w:jc w:val="center"/>
            </w:pPr>
            <w:r>
              <w:rPr>
                <w:b/>
                <w:sz w:val="18"/>
              </w:rPr>
              <w:t>Indeks (%)</w:t>
            </w:r>
          </w:p>
        </w:tc>
      </w:tr>
      <w:tr w:rsidR="00B930BA" w14:paraId="7E18104D" w14:textId="77777777">
        <w:trPr>
          <w:cantSplit/>
          <w:trHeight w:val="560"/>
        </w:trPr>
        <w:tc>
          <w:tcPr>
            <w:tcW w:w="700" w:type="dxa"/>
            <w:tcMar>
              <w:top w:w="0" w:type="dxa"/>
              <w:bottom w:w="0" w:type="dxa"/>
            </w:tcMar>
            <w:vAlign w:val="center"/>
          </w:tcPr>
          <w:p w14:paraId="34A08D4D" w14:textId="77777777" w:rsidR="00B930BA" w:rsidRDefault="00000000">
            <w:pPr>
              <w:keepNext/>
              <w:keepLines/>
              <w:spacing w:after="0" w:line="240" w:lineRule="auto"/>
            </w:pPr>
            <w:r>
              <w:rPr>
                <w:sz w:val="18"/>
              </w:rPr>
              <w:t>1</w:t>
            </w:r>
          </w:p>
        </w:tc>
        <w:tc>
          <w:tcPr>
            <w:tcW w:w="3180" w:type="dxa"/>
            <w:tcMar>
              <w:top w:w="0" w:type="dxa"/>
              <w:bottom w:w="0" w:type="dxa"/>
            </w:tcMar>
            <w:vAlign w:val="center"/>
          </w:tcPr>
          <w:p w14:paraId="0E59976C" w14:textId="77777777" w:rsidR="00B930BA"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1E12B28C" w14:textId="77777777" w:rsidR="00B930BA" w:rsidRDefault="00000000">
            <w:pPr>
              <w:keepNext/>
              <w:keepLines/>
              <w:spacing w:after="0" w:line="240" w:lineRule="auto"/>
            </w:pPr>
            <w:r>
              <w:rPr>
                <w:sz w:val="18"/>
              </w:rPr>
              <w:t>1</w:t>
            </w:r>
          </w:p>
        </w:tc>
        <w:tc>
          <w:tcPr>
            <w:tcW w:w="1860" w:type="dxa"/>
            <w:tcMar>
              <w:top w:w="0" w:type="dxa"/>
              <w:bottom w:w="0" w:type="dxa"/>
            </w:tcMar>
            <w:vAlign w:val="center"/>
          </w:tcPr>
          <w:p w14:paraId="4E58740F" w14:textId="77777777" w:rsidR="00B930BA" w:rsidRDefault="00000000">
            <w:pPr>
              <w:keepNext/>
              <w:keepLines/>
              <w:spacing w:after="0" w:line="240" w:lineRule="auto"/>
              <w:jc w:val="right"/>
            </w:pPr>
            <w:r>
              <w:rPr>
                <w:sz w:val="18"/>
              </w:rPr>
              <w:t>2.932.847,73</w:t>
            </w:r>
          </w:p>
        </w:tc>
        <w:tc>
          <w:tcPr>
            <w:tcW w:w="1860" w:type="dxa"/>
            <w:tcMar>
              <w:top w:w="0" w:type="dxa"/>
              <w:bottom w:w="0" w:type="dxa"/>
            </w:tcMar>
            <w:vAlign w:val="center"/>
          </w:tcPr>
          <w:p w14:paraId="32693D11" w14:textId="77777777" w:rsidR="00B930BA" w:rsidRDefault="00000000">
            <w:pPr>
              <w:keepNext/>
              <w:keepLines/>
              <w:spacing w:after="0" w:line="240" w:lineRule="auto"/>
              <w:jc w:val="right"/>
            </w:pPr>
            <w:r>
              <w:rPr>
                <w:sz w:val="18"/>
              </w:rPr>
              <w:t>2.882.323,48</w:t>
            </w:r>
          </w:p>
        </w:tc>
        <w:tc>
          <w:tcPr>
            <w:tcW w:w="700" w:type="dxa"/>
            <w:tcMar>
              <w:top w:w="0" w:type="dxa"/>
              <w:bottom w:w="0" w:type="dxa"/>
            </w:tcMar>
            <w:vAlign w:val="center"/>
          </w:tcPr>
          <w:p w14:paraId="0A5871F2" w14:textId="77777777" w:rsidR="00B930BA" w:rsidRDefault="00000000">
            <w:pPr>
              <w:keepNext/>
              <w:keepLines/>
              <w:spacing w:after="0" w:line="240" w:lineRule="auto"/>
              <w:jc w:val="right"/>
            </w:pPr>
            <w:r>
              <w:rPr>
                <w:sz w:val="18"/>
              </w:rPr>
              <w:t>98,3</w:t>
            </w:r>
          </w:p>
        </w:tc>
      </w:tr>
    </w:tbl>
    <w:p w14:paraId="7C364D6F" w14:textId="77777777" w:rsidR="00B930BA" w:rsidRDefault="00B930BA">
      <w:pPr>
        <w:spacing w:after="0"/>
      </w:pPr>
    </w:p>
    <w:p w14:paraId="4A459814" w14:textId="77777777" w:rsidR="00B930BA" w:rsidRDefault="00000000">
      <w:r>
        <w:t>Šifra 1 - financijska imovina - stanje na dan 01.01. je 2.932.847,73 eura, a 31.12. iznosi 2.882.323,48 eura što čini smanjenje za 1,7 %.</w:t>
      </w:r>
    </w:p>
    <w:p w14:paraId="6AE821BD" w14:textId="77777777" w:rsidR="00B930BA" w:rsidRDefault="00B930BA"/>
    <w:p w14:paraId="66632DC5" w14:textId="77777777" w:rsidR="00B930BA"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3AAE5BA" w14:textId="77777777">
        <w:trPr>
          <w:cantSplit/>
        </w:trPr>
        <w:tc>
          <w:tcPr>
            <w:tcW w:w="700" w:type="dxa"/>
            <w:shd w:val="clear" w:color="auto" w:fill="E7F0F9"/>
            <w:tcMar>
              <w:top w:w="0" w:type="dxa"/>
              <w:bottom w:w="0" w:type="dxa"/>
            </w:tcMar>
            <w:vAlign w:val="center"/>
          </w:tcPr>
          <w:p w14:paraId="05DFBDCE"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813624"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6E6A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CBA44F"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6B260B"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9F4871" w14:textId="77777777" w:rsidR="00B930BA" w:rsidRDefault="00000000">
            <w:pPr>
              <w:keepNext/>
              <w:keepLines/>
              <w:spacing w:after="0" w:line="240" w:lineRule="auto"/>
              <w:jc w:val="center"/>
            </w:pPr>
            <w:r>
              <w:rPr>
                <w:b/>
                <w:sz w:val="18"/>
              </w:rPr>
              <w:t>Indeks (%)</w:t>
            </w:r>
          </w:p>
        </w:tc>
      </w:tr>
      <w:tr w:rsidR="00B930BA" w14:paraId="3D2CA691" w14:textId="77777777">
        <w:trPr>
          <w:cantSplit/>
          <w:trHeight w:val="560"/>
        </w:trPr>
        <w:tc>
          <w:tcPr>
            <w:tcW w:w="700" w:type="dxa"/>
            <w:tcMar>
              <w:top w:w="0" w:type="dxa"/>
              <w:bottom w:w="0" w:type="dxa"/>
            </w:tcMar>
            <w:vAlign w:val="center"/>
          </w:tcPr>
          <w:p w14:paraId="5E3BDFC5" w14:textId="77777777" w:rsidR="00B930BA" w:rsidRDefault="00000000">
            <w:pPr>
              <w:keepNext/>
              <w:keepLines/>
              <w:spacing w:after="0" w:line="240" w:lineRule="auto"/>
            </w:pPr>
            <w:r>
              <w:rPr>
                <w:sz w:val="18"/>
              </w:rPr>
              <w:t>111</w:t>
            </w:r>
          </w:p>
        </w:tc>
        <w:tc>
          <w:tcPr>
            <w:tcW w:w="3180" w:type="dxa"/>
            <w:tcMar>
              <w:top w:w="0" w:type="dxa"/>
              <w:bottom w:w="0" w:type="dxa"/>
            </w:tcMar>
            <w:vAlign w:val="center"/>
          </w:tcPr>
          <w:p w14:paraId="3A04622E" w14:textId="77777777" w:rsidR="00B930BA"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553761D7" w14:textId="77777777" w:rsidR="00B930BA" w:rsidRDefault="00000000">
            <w:pPr>
              <w:keepNext/>
              <w:keepLines/>
              <w:spacing w:after="0" w:line="240" w:lineRule="auto"/>
            </w:pPr>
            <w:r>
              <w:rPr>
                <w:sz w:val="18"/>
              </w:rPr>
              <w:t>111</w:t>
            </w:r>
          </w:p>
        </w:tc>
        <w:tc>
          <w:tcPr>
            <w:tcW w:w="1860" w:type="dxa"/>
            <w:tcMar>
              <w:top w:w="0" w:type="dxa"/>
              <w:bottom w:w="0" w:type="dxa"/>
            </w:tcMar>
            <w:vAlign w:val="center"/>
          </w:tcPr>
          <w:p w14:paraId="48B15ADC" w14:textId="77777777" w:rsidR="00B930BA" w:rsidRDefault="00000000">
            <w:pPr>
              <w:keepNext/>
              <w:keepLines/>
              <w:spacing w:after="0" w:line="240" w:lineRule="auto"/>
              <w:jc w:val="right"/>
            </w:pPr>
            <w:r>
              <w:rPr>
                <w:sz w:val="18"/>
              </w:rPr>
              <w:t>1.325.859,56</w:t>
            </w:r>
          </w:p>
        </w:tc>
        <w:tc>
          <w:tcPr>
            <w:tcW w:w="1860" w:type="dxa"/>
            <w:tcMar>
              <w:top w:w="0" w:type="dxa"/>
              <w:bottom w:w="0" w:type="dxa"/>
            </w:tcMar>
            <w:vAlign w:val="center"/>
          </w:tcPr>
          <w:p w14:paraId="56F77706" w14:textId="77777777" w:rsidR="00B930BA" w:rsidRDefault="00000000">
            <w:pPr>
              <w:keepNext/>
              <w:keepLines/>
              <w:spacing w:after="0" w:line="240" w:lineRule="auto"/>
              <w:jc w:val="right"/>
            </w:pPr>
            <w:r>
              <w:rPr>
                <w:sz w:val="18"/>
              </w:rPr>
              <w:t>1.411.828,92</w:t>
            </w:r>
          </w:p>
        </w:tc>
        <w:tc>
          <w:tcPr>
            <w:tcW w:w="700" w:type="dxa"/>
            <w:tcMar>
              <w:top w:w="0" w:type="dxa"/>
              <w:bottom w:w="0" w:type="dxa"/>
            </w:tcMar>
            <w:vAlign w:val="center"/>
          </w:tcPr>
          <w:p w14:paraId="6E9DF77F" w14:textId="77777777" w:rsidR="00B930BA" w:rsidRDefault="00000000">
            <w:pPr>
              <w:keepNext/>
              <w:keepLines/>
              <w:spacing w:after="0" w:line="240" w:lineRule="auto"/>
              <w:jc w:val="right"/>
            </w:pPr>
            <w:r>
              <w:rPr>
                <w:sz w:val="18"/>
              </w:rPr>
              <w:t>106,5</w:t>
            </w:r>
          </w:p>
        </w:tc>
      </w:tr>
    </w:tbl>
    <w:p w14:paraId="74FEE403" w14:textId="77777777" w:rsidR="00B930BA" w:rsidRDefault="00B930BA">
      <w:pPr>
        <w:spacing w:after="0"/>
      </w:pPr>
    </w:p>
    <w:p w14:paraId="717E3109" w14:textId="77777777" w:rsidR="00B930BA" w:rsidRDefault="00000000">
      <w:r>
        <w:t>Šifra 111 - novac u banci - na dan 31.12.2025. godine saldo novčanih sredstava na žiro računu iznosio je 1.411.828,92 eura.</w:t>
      </w:r>
    </w:p>
    <w:p w14:paraId="112C207B" w14:textId="77777777" w:rsidR="00B930BA" w:rsidRDefault="00B930BA"/>
    <w:p w14:paraId="64E6CC0C" w14:textId="77777777" w:rsidR="00B930BA"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063AB70" w14:textId="77777777">
        <w:trPr>
          <w:cantSplit/>
        </w:trPr>
        <w:tc>
          <w:tcPr>
            <w:tcW w:w="700" w:type="dxa"/>
            <w:shd w:val="clear" w:color="auto" w:fill="E7F0F9"/>
            <w:tcMar>
              <w:top w:w="0" w:type="dxa"/>
              <w:bottom w:w="0" w:type="dxa"/>
            </w:tcMar>
            <w:vAlign w:val="center"/>
          </w:tcPr>
          <w:p w14:paraId="052EDF80"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40DDA1"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83692B"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665DE0"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32C509C"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61D62CB" w14:textId="77777777" w:rsidR="00B930BA" w:rsidRDefault="00000000">
            <w:pPr>
              <w:keepNext/>
              <w:keepLines/>
              <w:spacing w:after="0" w:line="240" w:lineRule="auto"/>
              <w:jc w:val="center"/>
            </w:pPr>
            <w:r>
              <w:rPr>
                <w:b/>
                <w:sz w:val="18"/>
              </w:rPr>
              <w:t>Indeks (%)</w:t>
            </w:r>
          </w:p>
        </w:tc>
      </w:tr>
      <w:tr w:rsidR="00B930BA" w14:paraId="6C6FD3CD" w14:textId="77777777">
        <w:trPr>
          <w:cantSplit/>
          <w:trHeight w:val="560"/>
        </w:trPr>
        <w:tc>
          <w:tcPr>
            <w:tcW w:w="700" w:type="dxa"/>
            <w:tcMar>
              <w:top w:w="0" w:type="dxa"/>
              <w:bottom w:w="0" w:type="dxa"/>
            </w:tcMar>
            <w:vAlign w:val="center"/>
          </w:tcPr>
          <w:p w14:paraId="7AB4A92C" w14:textId="77777777" w:rsidR="00B930BA" w:rsidRDefault="00000000">
            <w:pPr>
              <w:keepNext/>
              <w:keepLines/>
              <w:spacing w:after="0" w:line="240" w:lineRule="auto"/>
            </w:pPr>
            <w:r>
              <w:rPr>
                <w:sz w:val="18"/>
              </w:rPr>
              <w:t>129</w:t>
            </w:r>
          </w:p>
        </w:tc>
        <w:tc>
          <w:tcPr>
            <w:tcW w:w="3180" w:type="dxa"/>
            <w:tcMar>
              <w:top w:w="0" w:type="dxa"/>
              <w:bottom w:w="0" w:type="dxa"/>
            </w:tcMar>
            <w:vAlign w:val="center"/>
          </w:tcPr>
          <w:p w14:paraId="7FCAF3BE" w14:textId="77777777" w:rsidR="00B930BA" w:rsidRDefault="00000000">
            <w:pPr>
              <w:keepNext/>
              <w:keepLines/>
              <w:spacing w:after="0" w:line="240" w:lineRule="auto"/>
            </w:pPr>
            <w:r>
              <w:rPr>
                <w:sz w:val="18"/>
              </w:rPr>
              <w:t>Ostala potraživanja</w:t>
            </w:r>
          </w:p>
        </w:tc>
        <w:tc>
          <w:tcPr>
            <w:tcW w:w="700" w:type="dxa"/>
            <w:tcMar>
              <w:top w:w="0" w:type="dxa"/>
              <w:bottom w:w="0" w:type="dxa"/>
            </w:tcMar>
            <w:vAlign w:val="center"/>
          </w:tcPr>
          <w:p w14:paraId="27F5BC7B" w14:textId="77777777" w:rsidR="00B930BA" w:rsidRDefault="00000000">
            <w:pPr>
              <w:keepNext/>
              <w:keepLines/>
              <w:spacing w:after="0" w:line="240" w:lineRule="auto"/>
            </w:pPr>
            <w:r>
              <w:rPr>
                <w:sz w:val="18"/>
              </w:rPr>
              <w:t>129</w:t>
            </w:r>
          </w:p>
        </w:tc>
        <w:tc>
          <w:tcPr>
            <w:tcW w:w="1860" w:type="dxa"/>
            <w:tcMar>
              <w:top w:w="0" w:type="dxa"/>
              <w:bottom w:w="0" w:type="dxa"/>
            </w:tcMar>
            <w:vAlign w:val="center"/>
          </w:tcPr>
          <w:p w14:paraId="194C8949" w14:textId="77777777" w:rsidR="00B930BA" w:rsidRDefault="00000000">
            <w:pPr>
              <w:keepNext/>
              <w:keepLines/>
              <w:spacing w:after="0" w:line="240" w:lineRule="auto"/>
              <w:jc w:val="right"/>
            </w:pPr>
            <w:r>
              <w:rPr>
                <w:sz w:val="18"/>
              </w:rPr>
              <w:t>7.602,13</w:t>
            </w:r>
          </w:p>
        </w:tc>
        <w:tc>
          <w:tcPr>
            <w:tcW w:w="1860" w:type="dxa"/>
            <w:tcMar>
              <w:top w:w="0" w:type="dxa"/>
              <w:bottom w:w="0" w:type="dxa"/>
            </w:tcMar>
            <w:vAlign w:val="center"/>
          </w:tcPr>
          <w:p w14:paraId="283B7DC1" w14:textId="77777777" w:rsidR="00B930BA" w:rsidRDefault="00000000">
            <w:pPr>
              <w:keepNext/>
              <w:keepLines/>
              <w:spacing w:after="0" w:line="240" w:lineRule="auto"/>
              <w:jc w:val="right"/>
            </w:pPr>
            <w:r>
              <w:rPr>
                <w:sz w:val="18"/>
              </w:rPr>
              <w:t>8.184,48</w:t>
            </w:r>
          </w:p>
        </w:tc>
        <w:tc>
          <w:tcPr>
            <w:tcW w:w="700" w:type="dxa"/>
            <w:tcMar>
              <w:top w:w="0" w:type="dxa"/>
              <w:bottom w:w="0" w:type="dxa"/>
            </w:tcMar>
            <w:vAlign w:val="center"/>
          </w:tcPr>
          <w:p w14:paraId="0D540C7D" w14:textId="77777777" w:rsidR="00B930BA" w:rsidRDefault="00000000">
            <w:pPr>
              <w:keepNext/>
              <w:keepLines/>
              <w:spacing w:after="0" w:line="240" w:lineRule="auto"/>
              <w:jc w:val="right"/>
            </w:pPr>
            <w:r>
              <w:rPr>
                <w:sz w:val="18"/>
              </w:rPr>
              <w:t>107,7</w:t>
            </w:r>
          </w:p>
        </w:tc>
      </w:tr>
    </w:tbl>
    <w:p w14:paraId="191D48C0" w14:textId="77777777" w:rsidR="00B930BA" w:rsidRDefault="00B930BA">
      <w:pPr>
        <w:spacing w:after="0"/>
      </w:pPr>
    </w:p>
    <w:p w14:paraId="137CA92C" w14:textId="77777777" w:rsidR="00B930BA" w:rsidRDefault="00000000">
      <w:r>
        <w:t>Šifra 129 - ostala potraživanja - vrijednost na ovoj poziciji bilježi povećanje, stanje na dan 1.1. je 7.602,13 eura, dok 31.12. skupina ostalih potraživanja iznosi 8.184,48 eura.</w:t>
      </w:r>
    </w:p>
    <w:p w14:paraId="3072B209" w14:textId="77777777" w:rsidR="00B930BA" w:rsidRDefault="00B930BA"/>
    <w:p w14:paraId="3B24CDD3" w14:textId="77777777" w:rsidR="00B930BA"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4DB42864" w14:textId="77777777">
        <w:trPr>
          <w:cantSplit/>
        </w:trPr>
        <w:tc>
          <w:tcPr>
            <w:tcW w:w="700" w:type="dxa"/>
            <w:shd w:val="clear" w:color="auto" w:fill="E7F0F9"/>
            <w:tcMar>
              <w:top w:w="0" w:type="dxa"/>
              <w:bottom w:w="0" w:type="dxa"/>
            </w:tcMar>
            <w:vAlign w:val="center"/>
          </w:tcPr>
          <w:p w14:paraId="0DF8E73B"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CB722A"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E783C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B77748"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67E703"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16407A" w14:textId="77777777" w:rsidR="00B930BA" w:rsidRDefault="00000000">
            <w:pPr>
              <w:keepNext/>
              <w:keepLines/>
              <w:spacing w:after="0" w:line="240" w:lineRule="auto"/>
              <w:jc w:val="center"/>
            </w:pPr>
            <w:r>
              <w:rPr>
                <w:b/>
                <w:sz w:val="18"/>
              </w:rPr>
              <w:t>Indeks (%)</w:t>
            </w:r>
          </w:p>
        </w:tc>
      </w:tr>
      <w:tr w:rsidR="00B930BA" w14:paraId="4507B326" w14:textId="77777777">
        <w:trPr>
          <w:cantSplit/>
          <w:trHeight w:val="560"/>
        </w:trPr>
        <w:tc>
          <w:tcPr>
            <w:tcW w:w="700" w:type="dxa"/>
            <w:tcMar>
              <w:top w:w="0" w:type="dxa"/>
              <w:bottom w:w="0" w:type="dxa"/>
            </w:tcMar>
            <w:vAlign w:val="center"/>
          </w:tcPr>
          <w:p w14:paraId="137E5448" w14:textId="77777777" w:rsidR="00B930BA" w:rsidRDefault="00000000">
            <w:pPr>
              <w:keepNext/>
              <w:keepLines/>
              <w:spacing w:after="0" w:line="240" w:lineRule="auto"/>
            </w:pPr>
            <w:r>
              <w:rPr>
                <w:sz w:val="18"/>
              </w:rPr>
              <w:t>15</w:t>
            </w:r>
          </w:p>
        </w:tc>
        <w:tc>
          <w:tcPr>
            <w:tcW w:w="3180" w:type="dxa"/>
            <w:tcMar>
              <w:top w:w="0" w:type="dxa"/>
              <w:bottom w:w="0" w:type="dxa"/>
            </w:tcMar>
            <w:vAlign w:val="center"/>
          </w:tcPr>
          <w:p w14:paraId="707405D3" w14:textId="77777777" w:rsidR="00B930BA"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2E106E48" w14:textId="77777777" w:rsidR="00B930BA" w:rsidRDefault="00000000">
            <w:pPr>
              <w:keepNext/>
              <w:keepLines/>
              <w:spacing w:after="0" w:line="240" w:lineRule="auto"/>
            </w:pPr>
            <w:r>
              <w:rPr>
                <w:sz w:val="18"/>
              </w:rPr>
              <w:t>15</w:t>
            </w:r>
          </w:p>
        </w:tc>
        <w:tc>
          <w:tcPr>
            <w:tcW w:w="1860" w:type="dxa"/>
            <w:tcMar>
              <w:top w:w="0" w:type="dxa"/>
              <w:bottom w:w="0" w:type="dxa"/>
            </w:tcMar>
            <w:vAlign w:val="center"/>
          </w:tcPr>
          <w:p w14:paraId="47639919" w14:textId="77777777" w:rsidR="00B930BA" w:rsidRDefault="00000000">
            <w:pPr>
              <w:keepNext/>
              <w:keepLines/>
              <w:spacing w:after="0" w:line="240" w:lineRule="auto"/>
              <w:jc w:val="right"/>
            </w:pPr>
            <w:r>
              <w:rPr>
                <w:sz w:val="18"/>
              </w:rPr>
              <w:t>1.398.901,06</w:t>
            </w:r>
          </w:p>
        </w:tc>
        <w:tc>
          <w:tcPr>
            <w:tcW w:w="1860" w:type="dxa"/>
            <w:tcMar>
              <w:top w:w="0" w:type="dxa"/>
              <w:bottom w:w="0" w:type="dxa"/>
            </w:tcMar>
            <w:vAlign w:val="center"/>
          </w:tcPr>
          <w:p w14:paraId="52F51EDC" w14:textId="77777777" w:rsidR="00B930BA" w:rsidRDefault="00000000">
            <w:pPr>
              <w:keepNext/>
              <w:keepLines/>
              <w:spacing w:after="0" w:line="240" w:lineRule="auto"/>
              <w:jc w:val="right"/>
            </w:pPr>
            <w:r>
              <w:rPr>
                <w:sz w:val="18"/>
              </w:rPr>
              <w:t>1.398.901,06</w:t>
            </w:r>
          </w:p>
        </w:tc>
        <w:tc>
          <w:tcPr>
            <w:tcW w:w="700" w:type="dxa"/>
            <w:tcMar>
              <w:top w:w="0" w:type="dxa"/>
              <w:bottom w:w="0" w:type="dxa"/>
            </w:tcMar>
            <w:vAlign w:val="center"/>
          </w:tcPr>
          <w:p w14:paraId="20ADC267" w14:textId="77777777" w:rsidR="00B930BA" w:rsidRDefault="00000000">
            <w:pPr>
              <w:keepNext/>
              <w:keepLines/>
              <w:spacing w:after="0" w:line="240" w:lineRule="auto"/>
              <w:jc w:val="right"/>
            </w:pPr>
            <w:r>
              <w:rPr>
                <w:sz w:val="18"/>
              </w:rPr>
              <w:t>100</w:t>
            </w:r>
          </w:p>
        </w:tc>
      </w:tr>
    </w:tbl>
    <w:p w14:paraId="53708874" w14:textId="77777777" w:rsidR="00B930BA" w:rsidRDefault="00B930BA">
      <w:pPr>
        <w:spacing w:after="0"/>
      </w:pPr>
    </w:p>
    <w:p w14:paraId="1F2FA734" w14:textId="77777777" w:rsidR="00B930BA" w:rsidRDefault="00000000">
      <w:r>
        <w:t>Šifra 15 - financijski instrumenti - dionice i udjeli u glavnici - udjeli u glavnici od 1.398.901,06 eura odnose se na udjele u Varkom d.d. Varaždin, Ivkom d.d. Ivanec i TKIC d.o.o.                           </w:t>
      </w:r>
    </w:p>
    <w:p w14:paraId="022E404C" w14:textId="77777777" w:rsidR="00B930BA" w:rsidRDefault="00B930BA"/>
    <w:p w14:paraId="4365653F" w14:textId="77777777" w:rsidR="00B930BA"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55502F4" w14:textId="77777777">
        <w:trPr>
          <w:cantSplit/>
        </w:trPr>
        <w:tc>
          <w:tcPr>
            <w:tcW w:w="700" w:type="dxa"/>
            <w:shd w:val="clear" w:color="auto" w:fill="E7F0F9"/>
            <w:tcMar>
              <w:top w:w="0" w:type="dxa"/>
              <w:bottom w:w="0" w:type="dxa"/>
            </w:tcMar>
            <w:vAlign w:val="center"/>
          </w:tcPr>
          <w:p w14:paraId="23EA003A"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176F7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1CCDA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0A3ED6"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194FF0"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1C8CDF" w14:textId="77777777" w:rsidR="00B930BA" w:rsidRDefault="00000000">
            <w:pPr>
              <w:keepNext/>
              <w:keepLines/>
              <w:spacing w:after="0" w:line="240" w:lineRule="auto"/>
              <w:jc w:val="center"/>
            </w:pPr>
            <w:r>
              <w:rPr>
                <w:b/>
                <w:sz w:val="18"/>
              </w:rPr>
              <w:t>Indeks (%)</w:t>
            </w:r>
          </w:p>
        </w:tc>
      </w:tr>
      <w:tr w:rsidR="00B930BA" w14:paraId="6106E3E0" w14:textId="77777777">
        <w:trPr>
          <w:cantSplit/>
          <w:trHeight w:val="560"/>
        </w:trPr>
        <w:tc>
          <w:tcPr>
            <w:tcW w:w="700" w:type="dxa"/>
            <w:tcMar>
              <w:top w:w="0" w:type="dxa"/>
              <w:bottom w:w="0" w:type="dxa"/>
            </w:tcMar>
            <w:vAlign w:val="center"/>
          </w:tcPr>
          <w:p w14:paraId="595F3078" w14:textId="77777777" w:rsidR="00B930BA" w:rsidRDefault="00000000">
            <w:pPr>
              <w:keepNext/>
              <w:keepLines/>
              <w:spacing w:after="0" w:line="240" w:lineRule="auto"/>
            </w:pPr>
            <w:r>
              <w:rPr>
                <w:sz w:val="18"/>
              </w:rPr>
              <w:t>161</w:t>
            </w:r>
          </w:p>
        </w:tc>
        <w:tc>
          <w:tcPr>
            <w:tcW w:w="3180" w:type="dxa"/>
            <w:tcMar>
              <w:top w:w="0" w:type="dxa"/>
              <w:bottom w:w="0" w:type="dxa"/>
            </w:tcMar>
            <w:vAlign w:val="center"/>
          </w:tcPr>
          <w:p w14:paraId="33D33FBD" w14:textId="77777777" w:rsidR="00B930BA" w:rsidRDefault="00000000">
            <w:pPr>
              <w:keepNext/>
              <w:keepLines/>
              <w:spacing w:after="0" w:line="240" w:lineRule="auto"/>
            </w:pPr>
            <w:r>
              <w:rPr>
                <w:sz w:val="18"/>
              </w:rPr>
              <w:t>Potraživanja za poreze</w:t>
            </w:r>
          </w:p>
        </w:tc>
        <w:tc>
          <w:tcPr>
            <w:tcW w:w="700" w:type="dxa"/>
            <w:tcMar>
              <w:top w:w="0" w:type="dxa"/>
              <w:bottom w:w="0" w:type="dxa"/>
            </w:tcMar>
            <w:vAlign w:val="center"/>
          </w:tcPr>
          <w:p w14:paraId="4A410ED3" w14:textId="77777777" w:rsidR="00B930BA" w:rsidRDefault="00000000">
            <w:pPr>
              <w:keepNext/>
              <w:keepLines/>
              <w:spacing w:after="0" w:line="240" w:lineRule="auto"/>
            </w:pPr>
            <w:r>
              <w:rPr>
                <w:sz w:val="18"/>
              </w:rPr>
              <w:t>161</w:t>
            </w:r>
          </w:p>
        </w:tc>
        <w:tc>
          <w:tcPr>
            <w:tcW w:w="1860" w:type="dxa"/>
            <w:tcMar>
              <w:top w:w="0" w:type="dxa"/>
              <w:bottom w:w="0" w:type="dxa"/>
            </w:tcMar>
            <w:vAlign w:val="center"/>
          </w:tcPr>
          <w:p w14:paraId="3CE29456" w14:textId="77777777" w:rsidR="00B930BA" w:rsidRDefault="00000000">
            <w:pPr>
              <w:keepNext/>
              <w:keepLines/>
              <w:spacing w:after="0" w:line="240" w:lineRule="auto"/>
              <w:jc w:val="right"/>
            </w:pPr>
            <w:r>
              <w:rPr>
                <w:sz w:val="18"/>
              </w:rPr>
              <w:t>11.538,83</w:t>
            </w:r>
          </w:p>
        </w:tc>
        <w:tc>
          <w:tcPr>
            <w:tcW w:w="1860" w:type="dxa"/>
            <w:tcMar>
              <w:top w:w="0" w:type="dxa"/>
              <w:bottom w:w="0" w:type="dxa"/>
            </w:tcMar>
            <w:vAlign w:val="center"/>
          </w:tcPr>
          <w:p w14:paraId="5B617F5B" w14:textId="77777777" w:rsidR="00B930BA" w:rsidRDefault="00000000">
            <w:pPr>
              <w:keepNext/>
              <w:keepLines/>
              <w:spacing w:after="0" w:line="240" w:lineRule="auto"/>
              <w:jc w:val="right"/>
            </w:pPr>
            <w:r>
              <w:rPr>
                <w:sz w:val="18"/>
              </w:rPr>
              <w:t>7.209,80</w:t>
            </w:r>
          </w:p>
        </w:tc>
        <w:tc>
          <w:tcPr>
            <w:tcW w:w="700" w:type="dxa"/>
            <w:tcMar>
              <w:top w:w="0" w:type="dxa"/>
              <w:bottom w:w="0" w:type="dxa"/>
            </w:tcMar>
            <w:vAlign w:val="center"/>
          </w:tcPr>
          <w:p w14:paraId="465FB746" w14:textId="77777777" w:rsidR="00B930BA" w:rsidRDefault="00000000">
            <w:pPr>
              <w:keepNext/>
              <w:keepLines/>
              <w:spacing w:after="0" w:line="240" w:lineRule="auto"/>
              <w:jc w:val="right"/>
            </w:pPr>
            <w:r>
              <w:rPr>
                <w:sz w:val="18"/>
              </w:rPr>
              <w:t>62,5</w:t>
            </w:r>
          </w:p>
        </w:tc>
      </w:tr>
    </w:tbl>
    <w:p w14:paraId="6060F458" w14:textId="77777777" w:rsidR="00B930BA" w:rsidRDefault="00B930BA">
      <w:pPr>
        <w:spacing w:after="0"/>
      </w:pPr>
    </w:p>
    <w:p w14:paraId="028ACA5C" w14:textId="77777777" w:rsidR="00B930BA" w:rsidRDefault="00000000">
      <w:r>
        <w:t>Šifra 161 - potraživanja za poreze - iznos potraživanja od 7.209,80 eura odnosi se na gradske poreze za koje su poslovi utvrđivanja, nadzora, naplate i ovrhe povjereni Poreznoj upravi.</w:t>
      </w:r>
    </w:p>
    <w:p w14:paraId="2181DE9A" w14:textId="77777777" w:rsidR="00B930BA" w:rsidRDefault="00B930BA"/>
    <w:p w14:paraId="0E456FC0" w14:textId="77777777" w:rsidR="00B930BA"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52EDB4D" w14:textId="77777777">
        <w:trPr>
          <w:cantSplit/>
        </w:trPr>
        <w:tc>
          <w:tcPr>
            <w:tcW w:w="700" w:type="dxa"/>
            <w:shd w:val="clear" w:color="auto" w:fill="E7F0F9"/>
            <w:tcMar>
              <w:top w:w="0" w:type="dxa"/>
              <w:bottom w:w="0" w:type="dxa"/>
            </w:tcMar>
            <w:vAlign w:val="center"/>
          </w:tcPr>
          <w:p w14:paraId="18DCCCE7"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AD7D93"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B7716E"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875A8E"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A9F260"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CC3F8DC" w14:textId="77777777" w:rsidR="00B930BA" w:rsidRDefault="00000000">
            <w:pPr>
              <w:keepNext/>
              <w:keepLines/>
              <w:spacing w:after="0" w:line="240" w:lineRule="auto"/>
              <w:jc w:val="center"/>
            </w:pPr>
            <w:r>
              <w:rPr>
                <w:b/>
                <w:sz w:val="18"/>
              </w:rPr>
              <w:t>Indeks (%)</w:t>
            </w:r>
          </w:p>
        </w:tc>
      </w:tr>
      <w:tr w:rsidR="00B930BA" w14:paraId="669B293E" w14:textId="77777777">
        <w:trPr>
          <w:cantSplit/>
          <w:trHeight w:val="560"/>
        </w:trPr>
        <w:tc>
          <w:tcPr>
            <w:tcW w:w="700" w:type="dxa"/>
            <w:tcMar>
              <w:top w:w="0" w:type="dxa"/>
              <w:bottom w:w="0" w:type="dxa"/>
            </w:tcMar>
            <w:vAlign w:val="center"/>
          </w:tcPr>
          <w:p w14:paraId="119FE87A" w14:textId="77777777" w:rsidR="00B930BA" w:rsidRDefault="00000000">
            <w:pPr>
              <w:keepNext/>
              <w:keepLines/>
              <w:spacing w:after="0" w:line="240" w:lineRule="auto"/>
            </w:pPr>
            <w:r>
              <w:rPr>
                <w:sz w:val="18"/>
              </w:rPr>
              <w:t>163</w:t>
            </w:r>
          </w:p>
        </w:tc>
        <w:tc>
          <w:tcPr>
            <w:tcW w:w="3180" w:type="dxa"/>
            <w:tcMar>
              <w:top w:w="0" w:type="dxa"/>
              <w:bottom w:w="0" w:type="dxa"/>
            </w:tcMar>
            <w:vAlign w:val="center"/>
          </w:tcPr>
          <w:p w14:paraId="3EA63915" w14:textId="77777777" w:rsidR="00B930BA" w:rsidRDefault="00000000">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09E8AD47" w14:textId="77777777" w:rsidR="00B930BA" w:rsidRDefault="00000000">
            <w:pPr>
              <w:keepNext/>
              <w:keepLines/>
              <w:spacing w:after="0" w:line="240" w:lineRule="auto"/>
            </w:pPr>
            <w:r>
              <w:rPr>
                <w:sz w:val="18"/>
              </w:rPr>
              <w:t>163</w:t>
            </w:r>
          </w:p>
        </w:tc>
        <w:tc>
          <w:tcPr>
            <w:tcW w:w="1860" w:type="dxa"/>
            <w:tcMar>
              <w:top w:w="0" w:type="dxa"/>
              <w:bottom w:w="0" w:type="dxa"/>
            </w:tcMar>
            <w:vAlign w:val="center"/>
          </w:tcPr>
          <w:p w14:paraId="3E4C3DAE" w14:textId="77777777" w:rsidR="00B930BA" w:rsidRDefault="00000000">
            <w:pPr>
              <w:keepNext/>
              <w:keepLines/>
              <w:spacing w:after="0" w:line="240" w:lineRule="auto"/>
              <w:jc w:val="right"/>
            </w:pPr>
            <w:r>
              <w:rPr>
                <w:sz w:val="18"/>
              </w:rPr>
              <w:t>0,00</w:t>
            </w:r>
          </w:p>
        </w:tc>
        <w:tc>
          <w:tcPr>
            <w:tcW w:w="1860" w:type="dxa"/>
            <w:tcMar>
              <w:top w:w="0" w:type="dxa"/>
              <w:bottom w:w="0" w:type="dxa"/>
            </w:tcMar>
            <w:vAlign w:val="center"/>
          </w:tcPr>
          <w:p w14:paraId="0DE72198" w14:textId="77777777" w:rsidR="00B930BA" w:rsidRDefault="00000000">
            <w:pPr>
              <w:keepNext/>
              <w:keepLines/>
              <w:spacing w:after="0" w:line="240" w:lineRule="auto"/>
              <w:jc w:val="right"/>
            </w:pPr>
            <w:r>
              <w:rPr>
                <w:sz w:val="18"/>
              </w:rPr>
              <w:t>33.296,05</w:t>
            </w:r>
          </w:p>
        </w:tc>
        <w:tc>
          <w:tcPr>
            <w:tcW w:w="700" w:type="dxa"/>
            <w:tcMar>
              <w:top w:w="0" w:type="dxa"/>
              <w:bottom w:w="0" w:type="dxa"/>
            </w:tcMar>
            <w:vAlign w:val="center"/>
          </w:tcPr>
          <w:p w14:paraId="77006E7A" w14:textId="77777777" w:rsidR="00B930BA" w:rsidRDefault="00000000">
            <w:pPr>
              <w:keepNext/>
              <w:keepLines/>
              <w:spacing w:after="0" w:line="240" w:lineRule="auto"/>
              <w:jc w:val="right"/>
            </w:pPr>
            <w:r>
              <w:rPr>
                <w:sz w:val="18"/>
              </w:rPr>
              <w:t>-</w:t>
            </w:r>
          </w:p>
        </w:tc>
      </w:tr>
    </w:tbl>
    <w:p w14:paraId="698A1127" w14:textId="77777777" w:rsidR="00B930BA" w:rsidRDefault="00B930BA">
      <w:pPr>
        <w:spacing w:after="0"/>
      </w:pPr>
    </w:p>
    <w:p w14:paraId="70C0F901" w14:textId="77777777" w:rsidR="00B930BA" w:rsidRDefault="00000000">
      <w:r>
        <w:t>Šifra 163 - potraživanja za pomoći iz inozemstva i od subjekata unutar općeg proračuna - iznos potraživanja od 33.296,05 eura odnosi se na potraživanja za pomoći fiskalnog izravnanja - sredstva za fiskalnu održivost dječjih vrtića.</w:t>
      </w:r>
    </w:p>
    <w:p w14:paraId="361D9486" w14:textId="77777777" w:rsidR="00B930BA" w:rsidRDefault="00B930BA"/>
    <w:p w14:paraId="27D7A795" w14:textId="77777777" w:rsidR="00B930BA"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F483E9E" w14:textId="77777777">
        <w:trPr>
          <w:cantSplit/>
        </w:trPr>
        <w:tc>
          <w:tcPr>
            <w:tcW w:w="700" w:type="dxa"/>
            <w:shd w:val="clear" w:color="auto" w:fill="E7F0F9"/>
            <w:tcMar>
              <w:top w:w="0" w:type="dxa"/>
              <w:bottom w:w="0" w:type="dxa"/>
            </w:tcMar>
            <w:vAlign w:val="center"/>
          </w:tcPr>
          <w:p w14:paraId="1744BCDF"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0E8443"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F4E29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A5BC68"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839BDCA"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A32F0AF" w14:textId="77777777" w:rsidR="00B930BA" w:rsidRDefault="00000000">
            <w:pPr>
              <w:keepNext/>
              <w:keepLines/>
              <w:spacing w:after="0" w:line="240" w:lineRule="auto"/>
              <w:jc w:val="center"/>
            </w:pPr>
            <w:r>
              <w:rPr>
                <w:b/>
                <w:sz w:val="18"/>
              </w:rPr>
              <w:t>Indeks (%)</w:t>
            </w:r>
          </w:p>
        </w:tc>
      </w:tr>
      <w:tr w:rsidR="00B930BA" w14:paraId="438CB5D6" w14:textId="77777777">
        <w:trPr>
          <w:cantSplit/>
          <w:trHeight w:val="560"/>
        </w:trPr>
        <w:tc>
          <w:tcPr>
            <w:tcW w:w="700" w:type="dxa"/>
            <w:tcMar>
              <w:top w:w="0" w:type="dxa"/>
              <w:bottom w:w="0" w:type="dxa"/>
            </w:tcMar>
            <w:vAlign w:val="center"/>
          </w:tcPr>
          <w:p w14:paraId="41971375" w14:textId="77777777" w:rsidR="00B930BA" w:rsidRDefault="00000000">
            <w:pPr>
              <w:keepNext/>
              <w:keepLines/>
              <w:spacing w:after="0" w:line="240" w:lineRule="auto"/>
            </w:pPr>
            <w:r>
              <w:rPr>
                <w:sz w:val="18"/>
              </w:rPr>
              <w:t>164</w:t>
            </w:r>
          </w:p>
        </w:tc>
        <w:tc>
          <w:tcPr>
            <w:tcW w:w="3180" w:type="dxa"/>
            <w:tcMar>
              <w:top w:w="0" w:type="dxa"/>
              <w:bottom w:w="0" w:type="dxa"/>
            </w:tcMar>
            <w:vAlign w:val="center"/>
          </w:tcPr>
          <w:p w14:paraId="5BD2443F" w14:textId="77777777" w:rsidR="00B930BA" w:rsidRDefault="00000000">
            <w:pPr>
              <w:keepNext/>
              <w:keepLines/>
              <w:spacing w:after="0" w:line="240" w:lineRule="auto"/>
            </w:pPr>
            <w:r>
              <w:rPr>
                <w:sz w:val="18"/>
              </w:rPr>
              <w:t>Potraživanja za prihode od imovine</w:t>
            </w:r>
          </w:p>
        </w:tc>
        <w:tc>
          <w:tcPr>
            <w:tcW w:w="700" w:type="dxa"/>
            <w:tcMar>
              <w:top w:w="0" w:type="dxa"/>
              <w:bottom w:w="0" w:type="dxa"/>
            </w:tcMar>
            <w:vAlign w:val="center"/>
          </w:tcPr>
          <w:p w14:paraId="2C910F70" w14:textId="77777777" w:rsidR="00B930BA" w:rsidRDefault="00000000">
            <w:pPr>
              <w:keepNext/>
              <w:keepLines/>
              <w:spacing w:after="0" w:line="240" w:lineRule="auto"/>
            </w:pPr>
            <w:r>
              <w:rPr>
                <w:sz w:val="18"/>
              </w:rPr>
              <w:t>164</w:t>
            </w:r>
          </w:p>
        </w:tc>
        <w:tc>
          <w:tcPr>
            <w:tcW w:w="1860" w:type="dxa"/>
            <w:tcMar>
              <w:top w:w="0" w:type="dxa"/>
              <w:bottom w:w="0" w:type="dxa"/>
            </w:tcMar>
            <w:vAlign w:val="center"/>
          </w:tcPr>
          <w:p w14:paraId="5409FA67" w14:textId="77777777" w:rsidR="00B930BA" w:rsidRDefault="00000000">
            <w:pPr>
              <w:keepNext/>
              <w:keepLines/>
              <w:spacing w:after="0" w:line="240" w:lineRule="auto"/>
              <w:jc w:val="right"/>
            </w:pPr>
            <w:r>
              <w:rPr>
                <w:sz w:val="18"/>
              </w:rPr>
              <w:t>10.881,68</w:t>
            </w:r>
          </w:p>
        </w:tc>
        <w:tc>
          <w:tcPr>
            <w:tcW w:w="1860" w:type="dxa"/>
            <w:tcMar>
              <w:top w:w="0" w:type="dxa"/>
              <w:bottom w:w="0" w:type="dxa"/>
            </w:tcMar>
            <w:vAlign w:val="center"/>
          </w:tcPr>
          <w:p w14:paraId="1DD81C88" w14:textId="77777777" w:rsidR="00B930BA" w:rsidRDefault="00000000">
            <w:pPr>
              <w:keepNext/>
              <w:keepLines/>
              <w:spacing w:after="0" w:line="240" w:lineRule="auto"/>
              <w:jc w:val="right"/>
            </w:pPr>
            <w:r>
              <w:rPr>
                <w:sz w:val="18"/>
              </w:rPr>
              <w:t>2.456,37</w:t>
            </w:r>
          </w:p>
        </w:tc>
        <w:tc>
          <w:tcPr>
            <w:tcW w:w="700" w:type="dxa"/>
            <w:tcMar>
              <w:top w:w="0" w:type="dxa"/>
              <w:bottom w:w="0" w:type="dxa"/>
            </w:tcMar>
            <w:vAlign w:val="center"/>
          </w:tcPr>
          <w:p w14:paraId="06CB6274" w14:textId="77777777" w:rsidR="00B930BA" w:rsidRDefault="00000000">
            <w:pPr>
              <w:keepNext/>
              <w:keepLines/>
              <w:spacing w:after="0" w:line="240" w:lineRule="auto"/>
              <w:jc w:val="right"/>
            </w:pPr>
            <w:r>
              <w:rPr>
                <w:sz w:val="18"/>
              </w:rPr>
              <w:t>22,6</w:t>
            </w:r>
          </w:p>
        </w:tc>
      </w:tr>
    </w:tbl>
    <w:p w14:paraId="0828A757" w14:textId="77777777" w:rsidR="00B930BA" w:rsidRDefault="00B930BA">
      <w:pPr>
        <w:spacing w:after="0"/>
      </w:pPr>
    </w:p>
    <w:p w14:paraId="1AA86ADB" w14:textId="77777777" w:rsidR="00B930BA" w:rsidRDefault="00000000">
      <w:r>
        <w:t>Šifra 164 - potraživanja za prihode od imovine u iznosu od 2.456,37 eura, odnose se na potraživanja od zakupa i iznajmljivanja imovine i potraživanja za ostale prihode od nefinancijske imovine.</w:t>
      </w:r>
    </w:p>
    <w:p w14:paraId="4A181A84" w14:textId="77777777" w:rsidR="00B930BA" w:rsidRDefault="00B930BA"/>
    <w:p w14:paraId="19BE1452" w14:textId="77777777" w:rsidR="00B930BA"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14912C86" w14:textId="77777777">
        <w:trPr>
          <w:cantSplit/>
        </w:trPr>
        <w:tc>
          <w:tcPr>
            <w:tcW w:w="700" w:type="dxa"/>
            <w:shd w:val="clear" w:color="auto" w:fill="E7F0F9"/>
            <w:tcMar>
              <w:top w:w="0" w:type="dxa"/>
              <w:bottom w:w="0" w:type="dxa"/>
            </w:tcMar>
            <w:vAlign w:val="center"/>
          </w:tcPr>
          <w:p w14:paraId="2C1E438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10DB7F"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167FC"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BF0803"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2A33049"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802828" w14:textId="77777777" w:rsidR="00B930BA" w:rsidRDefault="00000000">
            <w:pPr>
              <w:keepNext/>
              <w:keepLines/>
              <w:spacing w:after="0" w:line="240" w:lineRule="auto"/>
              <w:jc w:val="center"/>
            </w:pPr>
            <w:r>
              <w:rPr>
                <w:b/>
                <w:sz w:val="18"/>
              </w:rPr>
              <w:t>Indeks (%)</w:t>
            </w:r>
          </w:p>
        </w:tc>
      </w:tr>
      <w:tr w:rsidR="00B930BA" w14:paraId="66BAF769" w14:textId="77777777">
        <w:trPr>
          <w:cantSplit/>
          <w:trHeight w:val="560"/>
        </w:trPr>
        <w:tc>
          <w:tcPr>
            <w:tcW w:w="700" w:type="dxa"/>
            <w:tcMar>
              <w:top w:w="0" w:type="dxa"/>
              <w:bottom w:w="0" w:type="dxa"/>
            </w:tcMar>
            <w:vAlign w:val="center"/>
          </w:tcPr>
          <w:p w14:paraId="2065C7AE" w14:textId="77777777" w:rsidR="00B930BA" w:rsidRDefault="00000000">
            <w:pPr>
              <w:keepNext/>
              <w:keepLines/>
              <w:spacing w:after="0" w:line="240" w:lineRule="auto"/>
            </w:pPr>
            <w:r>
              <w:rPr>
                <w:sz w:val="18"/>
              </w:rPr>
              <w:t>165</w:t>
            </w:r>
          </w:p>
        </w:tc>
        <w:tc>
          <w:tcPr>
            <w:tcW w:w="3180" w:type="dxa"/>
            <w:tcMar>
              <w:top w:w="0" w:type="dxa"/>
              <w:bottom w:w="0" w:type="dxa"/>
            </w:tcMar>
            <w:vAlign w:val="center"/>
          </w:tcPr>
          <w:p w14:paraId="7BAA1E1F" w14:textId="77777777" w:rsidR="00B930BA" w:rsidRDefault="00000000">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14:paraId="48528924" w14:textId="77777777" w:rsidR="00B930BA" w:rsidRDefault="00000000">
            <w:pPr>
              <w:keepNext/>
              <w:keepLines/>
              <w:spacing w:after="0" w:line="240" w:lineRule="auto"/>
            </w:pPr>
            <w:r>
              <w:rPr>
                <w:sz w:val="18"/>
              </w:rPr>
              <w:t>165</w:t>
            </w:r>
          </w:p>
        </w:tc>
        <w:tc>
          <w:tcPr>
            <w:tcW w:w="1860" w:type="dxa"/>
            <w:tcMar>
              <w:top w:w="0" w:type="dxa"/>
              <w:bottom w:w="0" w:type="dxa"/>
            </w:tcMar>
            <w:vAlign w:val="center"/>
          </w:tcPr>
          <w:p w14:paraId="216409EA" w14:textId="77777777" w:rsidR="00B930BA" w:rsidRDefault="00000000">
            <w:pPr>
              <w:keepNext/>
              <w:keepLines/>
              <w:spacing w:after="0" w:line="240" w:lineRule="auto"/>
              <w:jc w:val="right"/>
            </w:pPr>
            <w:r>
              <w:rPr>
                <w:sz w:val="18"/>
              </w:rPr>
              <w:t>153.016,29</w:t>
            </w:r>
          </w:p>
        </w:tc>
        <w:tc>
          <w:tcPr>
            <w:tcW w:w="1860" w:type="dxa"/>
            <w:tcMar>
              <w:top w:w="0" w:type="dxa"/>
              <w:bottom w:w="0" w:type="dxa"/>
            </w:tcMar>
            <w:vAlign w:val="center"/>
          </w:tcPr>
          <w:p w14:paraId="15DD15B3" w14:textId="77777777" w:rsidR="00B930BA" w:rsidRDefault="00000000">
            <w:pPr>
              <w:keepNext/>
              <w:keepLines/>
              <w:spacing w:after="0" w:line="240" w:lineRule="auto"/>
              <w:jc w:val="right"/>
            </w:pPr>
            <w:r>
              <w:rPr>
                <w:sz w:val="18"/>
              </w:rPr>
              <w:t>111.825,95</w:t>
            </w:r>
          </w:p>
        </w:tc>
        <w:tc>
          <w:tcPr>
            <w:tcW w:w="700" w:type="dxa"/>
            <w:tcMar>
              <w:top w:w="0" w:type="dxa"/>
              <w:bottom w:w="0" w:type="dxa"/>
            </w:tcMar>
            <w:vAlign w:val="center"/>
          </w:tcPr>
          <w:p w14:paraId="5D9636A3" w14:textId="77777777" w:rsidR="00B930BA" w:rsidRDefault="00000000">
            <w:pPr>
              <w:keepNext/>
              <w:keepLines/>
              <w:spacing w:after="0" w:line="240" w:lineRule="auto"/>
              <w:jc w:val="right"/>
            </w:pPr>
            <w:r>
              <w:rPr>
                <w:sz w:val="18"/>
              </w:rPr>
              <w:t>73,1</w:t>
            </w:r>
          </w:p>
        </w:tc>
      </w:tr>
    </w:tbl>
    <w:p w14:paraId="2DB25C13" w14:textId="77777777" w:rsidR="00B930BA" w:rsidRDefault="00B930BA">
      <w:pPr>
        <w:spacing w:after="0"/>
      </w:pPr>
    </w:p>
    <w:p w14:paraId="2E831214" w14:textId="77777777" w:rsidR="00B930BA" w:rsidRDefault="00000000">
      <w:r>
        <w:t>Šifra 165 - iskazana su potraživanja za upravne i administrativne pristojbe, pristojbe po posebnim propisima i naknade u iznosu od 111.825,95 eura.</w:t>
      </w:r>
    </w:p>
    <w:p w14:paraId="7559668C" w14:textId="77777777" w:rsidR="00B930BA" w:rsidRDefault="00B930BA"/>
    <w:p w14:paraId="01C00E89" w14:textId="77777777" w:rsidR="00B930BA"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30E7FAB" w14:textId="77777777">
        <w:trPr>
          <w:cantSplit/>
        </w:trPr>
        <w:tc>
          <w:tcPr>
            <w:tcW w:w="700" w:type="dxa"/>
            <w:shd w:val="clear" w:color="auto" w:fill="E7F0F9"/>
            <w:tcMar>
              <w:top w:w="0" w:type="dxa"/>
              <w:bottom w:w="0" w:type="dxa"/>
            </w:tcMar>
            <w:vAlign w:val="center"/>
          </w:tcPr>
          <w:p w14:paraId="3FFA530B"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50AC76"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F4DEB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106FE"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4634ED"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692071" w14:textId="77777777" w:rsidR="00B930BA" w:rsidRDefault="00000000">
            <w:pPr>
              <w:keepNext/>
              <w:keepLines/>
              <w:spacing w:after="0" w:line="240" w:lineRule="auto"/>
              <w:jc w:val="center"/>
            </w:pPr>
            <w:r>
              <w:rPr>
                <w:b/>
                <w:sz w:val="18"/>
              </w:rPr>
              <w:t>Indeks (%)</w:t>
            </w:r>
          </w:p>
        </w:tc>
      </w:tr>
      <w:tr w:rsidR="00B930BA" w14:paraId="3BBB5440" w14:textId="77777777">
        <w:trPr>
          <w:cantSplit/>
          <w:trHeight w:val="560"/>
        </w:trPr>
        <w:tc>
          <w:tcPr>
            <w:tcW w:w="700" w:type="dxa"/>
            <w:tcMar>
              <w:top w:w="0" w:type="dxa"/>
              <w:bottom w:w="0" w:type="dxa"/>
            </w:tcMar>
            <w:vAlign w:val="center"/>
          </w:tcPr>
          <w:p w14:paraId="6E449D2F" w14:textId="77777777" w:rsidR="00B930BA" w:rsidRDefault="00000000">
            <w:pPr>
              <w:keepNext/>
              <w:keepLines/>
              <w:spacing w:after="0" w:line="240" w:lineRule="auto"/>
            </w:pPr>
            <w:r>
              <w:rPr>
                <w:sz w:val="18"/>
              </w:rPr>
              <w:t>166</w:t>
            </w:r>
          </w:p>
        </w:tc>
        <w:tc>
          <w:tcPr>
            <w:tcW w:w="3180" w:type="dxa"/>
            <w:tcMar>
              <w:top w:w="0" w:type="dxa"/>
              <w:bottom w:w="0" w:type="dxa"/>
            </w:tcMar>
            <w:vAlign w:val="center"/>
          </w:tcPr>
          <w:p w14:paraId="594EFAA6" w14:textId="77777777" w:rsidR="00B930BA" w:rsidRDefault="00000000">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14:paraId="45F2A5C5" w14:textId="77777777" w:rsidR="00B930BA" w:rsidRDefault="00000000">
            <w:pPr>
              <w:keepNext/>
              <w:keepLines/>
              <w:spacing w:after="0" w:line="240" w:lineRule="auto"/>
            </w:pPr>
            <w:r>
              <w:rPr>
                <w:sz w:val="18"/>
              </w:rPr>
              <w:t>166</w:t>
            </w:r>
          </w:p>
        </w:tc>
        <w:tc>
          <w:tcPr>
            <w:tcW w:w="1860" w:type="dxa"/>
            <w:tcMar>
              <w:top w:w="0" w:type="dxa"/>
              <w:bottom w:w="0" w:type="dxa"/>
            </w:tcMar>
            <w:vAlign w:val="center"/>
          </w:tcPr>
          <w:p w14:paraId="08CE4CE3" w14:textId="77777777" w:rsidR="00B930BA" w:rsidRDefault="00000000">
            <w:pPr>
              <w:keepNext/>
              <w:keepLines/>
              <w:spacing w:after="0" w:line="240" w:lineRule="auto"/>
              <w:jc w:val="right"/>
            </w:pPr>
            <w:r>
              <w:rPr>
                <w:sz w:val="18"/>
              </w:rPr>
              <w:t>5.276,77</w:t>
            </w:r>
          </w:p>
        </w:tc>
        <w:tc>
          <w:tcPr>
            <w:tcW w:w="1860" w:type="dxa"/>
            <w:tcMar>
              <w:top w:w="0" w:type="dxa"/>
              <w:bottom w:w="0" w:type="dxa"/>
            </w:tcMar>
            <w:vAlign w:val="center"/>
          </w:tcPr>
          <w:p w14:paraId="6D685D87" w14:textId="77777777" w:rsidR="00B930BA" w:rsidRDefault="00000000">
            <w:pPr>
              <w:keepNext/>
              <w:keepLines/>
              <w:spacing w:after="0" w:line="240" w:lineRule="auto"/>
              <w:jc w:val="right"/>
            </w:pPr>
            <w:r>
              <w:rPr>
                <w:sz w:val="18"/>
              </w:rPr>
              <w:t>6.256,62</w:t>
            </w:r>
          </w:p>
        </w:tc>
        <w:tc>
          <w:tcPr>
            <w:tcW w:w="700" w:type="dxa"/>
            <w:tcMar>
              <w:top w:w="0" w:type="dxa"/>
              <w:bottom w:w="0" w:type="dxa"/>
            </w:tcMar>
            <w:vAlign w:val="center"/>
          </w:tcPr>
          <w:p w14:paraId="57D905AB" w14:textId="77777777" w:rsidR="00B930BA" w:rsidRDefault="00000000">
            <w:pPr>
              <w:keepNext/>
              <w:keepLines/>
              <w:spacing w:after="0" w:line="240" w:lineRule="auto"/>
              <w:jc w:val="right"/>
            </w:pPr>
            <w:r>
              <w:rPr>
                <w:sz w:val="18"/>
              </w:rPr>
              <w:t>118,6</w:t>
            </w:r>
          </w:p>
        </w:tc>
      </w:tr>
    </w:tbl>
    <w:p w14:paraId="1C9C0101" w14:textId="77777777" w:rsidR="00B930BA" w:rsidRDefault="00B930BA">
      <w:pPr>
        <w:spacing w:after="0"/>
      </w:pPr>
    </w:p>
    <w:p w14:paraId="27DF5077" w14:textId="77777777" w:rsidR="00B930BA" w:rsidRDefault="00000000">
      <w:r>
        <w:t>Šifra 166 - potraživanja za prihode od prodaje proizvoda i robe te pruženih usluga i za povrat po protestiranim jamstvima - iskazano je potraživanje u iznosu od 6.256,62 eura od Hrvatskih voda za poslove naplate naknade za uređenja voda.</w:t>
      </w:r>
    </w:p>
    <w:p w14:paraId="3D1EBB8C" w14:textId="77777777" w:rsidR="00B930BA" w:rsidRDefault="00B930BA"/>
    <w:p w14:paraId="5F0DCD4A" w14:textId="77777777" w:rsidR="00B930BA" w:rsidRDefault="00000000">
      <w:pPr>
        <w:keepNext/>
        <w:spacing w:line="240" w:lineRule="auto"/>
        <w:jc w:val="center"/>
      </w:pPr>
      <w:r>
        <w:rPr>
          <w:sz w:val="28"/>
        </w:rPr>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1CBEE3E" w14:textId="77777777">
        <w:trPr>
          <w:cantSplit/>
        </w:trPr>
        <w:tc>
          <w:tcPr>
            <w:tcW w:w="700" w:type="dxa"/>
            <w:shd w:val="clear" w:color="auto" w:fill="E7F0F9"/>
            <w:tcMar>
              <w:top w:w="0" w:type="dxa"/>
              <w:bottom w:w="0" w:type="dxa"/>
            </w:tcMar>
            <w:vAlign w:val="center"/>
          </w:tcPr>
          <w:p w14:paraId="2F896B26"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E04D6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07000D"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99C811"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9D09BF"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D8BA87E" w14:textId="77777777" w:rsidR="00B930BA" w:rsidRDefault="00000000">
            <w:pPr>
              <w:keepNext/>
              <w:keepLines/>
              <w:spacing w:after="0" w:line="240" w:lineRule="auto"/>
              <w:jc w:val="center"/>
            </w:pPr>
            <w:r>
              <w:rPr>
                <w:b/>
                <w:sz w:val="18"/>
              </w:rPr>
              <w:t>Indeks (%)</w:t>
            </w:r>
          </w:p>
        </w:tc>
      </w:tr>
      <w:tr w:rsidR="00B930BA" w14:paraId="22C24870" w14:textId="77777777">
        <w:trPr>
          <w:cantSplit/>
          <w:trHeight w:val="560"/>
        </w:trPr>
        <w:tc>
          <w:tcPr>
            <w:tcW w:w="700" w:type="dxa"/>
            <w:tcMar>
              <w:top w:w="0" w:type="dxa"/>
              <w:bottom w:w="0" w:type="dxa"/>
            </w:tcMar>
            <w:vAlign w:val="center"/>
          </w:tcPr>
          <w:p w14:paraId="377FC61F" w14:textId="77777777" w:rsidR="00B930BA" w:rsidRDefault="00000000">
            <w:pPr>
              <w:keepNext/>
              <w:keepLines/>
              <w:spacing w:after="0" w:line="240" w:lineRule="auto"/>
            </w:pPr>
            <w:r>
              <w:rPr>
                <w:sz w:val="18"/>
              </w:rPr>
              <w:t>169</w:t>
            </w:r>
          </w:p>
        </w:tc>
        <w:tc>
          <w:tcPr>
            <w:tcW w:w="3180" w:type="dxa"/>
            <w:tcMar>
              <w:top w:w="0" w:type="dxa"/>
              <w:bottom w:w="0" w:type="dxa"/>
            </w:tcMar>
            <w:vAlign w:val="center"/>
          </w:tcPr>
          <w:p w14:paraId="3BE06802" w14:textId="77777777" w:rsidR="00B930BA" w:rsidRDefault="00000000">
            <w:pPr>
              <w:keepNext/>
              <w:keepLines/>
              <w:spacing w:after="0" w:line="240" w:lineRule="auto"/>
            </w:pPr>
            <w:r>
              <w:rPr>
                <w:sz w:val="18"/>
              </w:rPr>
              <w:t>Ispravak vrijednosti potraživanja</w:t>
            </w:r>
          </w:p>
        </w:tc>
        <w:tc>
          <w:tcPr>
            <w:tcW w:w="700" w:type="dxa"/>
            <w:tcMar>
              <w:top w:w="0" w:type="dxa"/>
              <w:bottom w:w="0" w:type="dxa"/>
            </w:tcMar>
            <w:vAlign w:val="center"/>
          </w:tcPr>
          <w:p w14:paraId="2B02D8EA" w14:textId="77777777" w:rsidR="00B930BA" w:rsidRDefault="00000000">
            <w:pPr>
              <w:keepNext/>
              <w:keepLines/>
              <w:spacing w:after="0" w:line="240" w:lineRule="auto"/>
            </w:pPr>
            <w:r>
              <w:rPr>
                <w:sz w:val="18"/>
              </w:rPr>
              <w:t>169</w:t>
            </w:r>
          </w:p>
        </w:tc>
        <w:tc>
          <w:tcPr>
            <w:tcW w:w="1860" w:type="dxa"/>
            <w:tcMar>
              <w:top w:w="0" w:type="dxa"/>
              <w:bottom w:w="0" w:type="dxa"/>
            </w:tcMar>
            <w:vAlign w:val="center"/>
          </w:tcPr>
          <w:p w14:paraId="274847BA" w14:textId="77777777" w:rsidR="00B930BA" w:rsidRDefault="00000000">
            <w:pPr>
              <w:keepNext/>
              <w:keepLines/>
              <w:spacing w:after="0" w:line="240" w:lineRule="auto"/>
              <w:jc w:val="right"/>
            </w:pPr>
            <w:r>
              <w:rPr>
                <w:sz w:val="18"/>
              </w:rPr>
              <w:t>138.383,94</w:t>
            </w:r>
          </w:p>
        </w:tc>
        <w:tc>
          <w:tcPr>
            <w:tcW w:w="1860" w:type="dxa"/>
            <w:tcMar>
              <w:top w:w="0" w:type="dxa"/>
              <w:bottom w:w="0" w:type="dxa"/>
            </w:tcMar>
            <w:vAlign w:val="center"/>
          </w:tcPr>
          <w:p w14:paraId="1AF45F53" w14:textId="77777777" w:rsidR="00B930BA" w:rsidRDefault="00000000">
            <w:pPr>
              <w:keepNext/>
              <w:keepLines/>
              <w:spacing w:after="0" w:line="240" w:lineRule="auto"/>
              <w:jc w:val="right"/>
            </w:pPr>
            <w:r>
              <w:rPr>
                <w:sz w:val="18"/>
              </w:rPr>
              <w:t>109.188,55</w:t>
            </w:r>
          </w:p>
        </w:tc>
        <w:tc>
          <w:tcPr>
            <w:tcW w:w="700" w:type="dxa"/>
            <w:tcMar>
              <w:top w:w="0" w:type="dxa"/>
              <w:bottom w:w="0" w:type="dxa"/>
            </w:tcMar>
            <w:vAlign w:val="center"/>
          </w:tcPr>
          <w:p w14:paraId="2BF9A1D6" w14:textId="77777777" w:rsidR="00B930BA" w:rsidRDefault="00000000">
            <w:pPr>
              <w:keepNext/>
              <w:keepLines/>
              <w:spacing w:after="0" w:line="240" w:lineRule="auto"/>
              <w:jc w:val="right"/>
            </w:pPr>
            <w:r>
              <w:rPr>
                <w:sz w:val="18"/>
              </w:rPr>
              <w:t>78,9</w:t>
            </w:r>
          </w:p>
        </w:tc>
      </w:tr>
    </w:tbl>
    <w:p w14:paraId="1261C549" w14:textId="77777777" w:rsidR="00B930BA" w:rsidRDefault="00B930BA">
      <w:pPr>
        <w:spacing w:after="0"/>
      </w:pPr>
    </w:p>
    <w:p w14:paraId="4BDA37C4" w14:textId="77777777" w:rsidR="00B930BA" w:rsidRDefault="00000000">
      <w:r>
        <w:t>Šifra 169 - ispravak vrijednosti potraživanja - izvršen je ispravak vrijednosti potraživanja uzimajući u obzir kašnjenje u naplati preko dvije godine dana u ukupnom iznosu od 109.188,55 eura.</w:t>
      </w:r>
    </w:p>
    <w:p w14:paraId="0D9A4787" w14:textId="77777777" w:rsidR="00B930BA" w:rsidRDefault="00B930BA"/>
    <w:p w14:paraId="72B6BA0A" w14:textId="77777777" w:rsidR="00B930BA"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B816DB0" w14:textId="77777777">
        <w:trPr>
          <w:cantSplit/>
        </w:trPr>
        <w:tc>
          <w:tcPr>
            <w:tcW w:w="700" w:type="dxa"/>
            <w:shd w:val="clear" w:color="auto" w:fill="E7F0F9"/>
            <w:tcMar>
              <w:top w:w="0" w:type="dxa"/>
              <w:bottom w:w="0" w:type="dxa"/>
            </w:tcMar>
            <w:vAlign w:val="center"/>
          </w:tcPr>
          <w:p w14:paraId="670C1415"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6B4C9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66D47E"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F294C1"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4185AF"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B24EB0" w14:textId="77777777" w:rsidR="00B930BA" w:rsidRDefault="00000000">
            <w:pPr>
              <w:keepNext/>
              <w:keepLines/>
              <w:spacing w:after="0" w:line="240" w:lineRule="auto"/>
              <w:jc w:val="center"/>
            </w:pPr>
            <w:r>
              <w:rPr>
                <w:b/>
                <w:sz w:val="18"/>
              </w:rPr>
              <w:t>Indeks (%)</w:t>
            </w:r>
          </w:p>
        </w:tc>
      </w:tr>
      <w:tr w:rsidR="00B930BA" w14:paraId="2DD4B875" w14:textId="77777777">
        <w:trPr>
          <w:cantSplit/>
          <w:trHeight w:val="560"/>
        </w:trPr>
        <w:tc>
          <w:tcPr>
            <w:tcW w:w="700" w:type="dxa"/>
            <w:tcMar>
              <w:top w:w="0" w:type="dxa"/>
              <w:bottom w:w="0" w:type="dxa"/>
            </w:tcMar>
            <w:vAlign w:val="center"/>
          </w:tcPr>
          <w:p w14:paraId="7F59B1CE" w14:textId="77777777" w:rsidR="00B930BA" w:rsidRDefault="00000000">
            <w:pPr>
              <w:keepNext/>
              <w:keepLines/>
              <w:spacing w:after="0" w:line="240" w:lineRule="auto"/>
            </w:pPr>
            <w:r>
              <w:rPr>
                <w:sz w:val="18"/>
              </w:rPr>
              <w:t>17</w:t>
            </w:r>
          </w:p>
        </w:tc>
        <w:tc>
          <w:tcPr>
            <w:tcW w:w="3180" w:type="dxa"/>
            <w:tcMar>
              <w:top w:w="0" w:type="dxa"/>
              <w:bottom w:w="0" w:type="dxa"/>
            </w:tcMar>
            <w:vAlign w:val="center"/>
          </w:tcPr>
          <w:p w14:paraId="2F0726DF" w14:textId="77777777" w:rsidR="00B930BA" w:rsidRDefault="00000000">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406AF661" w14:textId="77777777" w:rsidR="00B930BA" w:rsidRDefault="00000000">
            <w:pPr>
              <w:keepNext/>
              <w:keepLines/>
              <w:spacing w:after="0" w:line="240" w:lineRule="auto"/>
            </w:pPr>
            <w:r>
              <w:rPr>
                <w:sz w:val="18"/>
              </w:rPr>
              <w:t>17</w:t>
            </w:r>
          </w:p>
        </w:tc>
        <w:tc>
          <w:tcPr>
            <w:tcW w:w="1860" w:type="dxa"/>
            <w:tcMar>
              <w:top w:w="0" w:type="dxa"/>
              <w:bottom w:w="0" w:type="dxa"/>
            </w:tcMar>
            <w:vAlign w:val="center"/>
          </w:tcPr>
          <w:p w14:paraId="627AB802" w14:textId="77777777" w:rsidR="00B930BA" w:rsidRDefault="00000000">
            <w:pPr>
              <w:keepNext/>
              <w:keepLines/>
              <w:spacing w:after="0" w:line="240" w:lineRule="auto"/>
              <w:jc w:val="right"/>
            </w:pPr>
            <w:r>
              <w:rPr>
                <w:sz w:val="18"/>
              </w:rPr>
              <w:t>156.649,68</w:t>
            </w:r>
          </w:p>
        </w:tc>
        <w:tc>
          <w:tcPr>
            <w:tcW w:w="1860" w:type="dxa"/>
            <w:tcMar>
              <w:top w:w="0" w:type="dxa"/>
              <w:bottom w:w="0" w:type="dxa"/>
            </w:tcMar>
            <w:vAlign w:val="center"/>
          </w:tcPr>
          <w:p w14:paraId="18F21D97" w14:textId="77777777" w:rsidR="00B930BA" w:rsidRDefault="00000000">
            <w:pPr>
              <w:keepNext/>
              <w:keepLines/>
              <w:spacing w:after="0" w:line="240" w:lineRule="auto"/>
              <w:jc w:val="right"/>
            </w:pPr>
            <w:r>
              <w:rPr>
                <w:sz w:val="18"/>
              </w:rPr>
              <w:t>10.047,11</w:t>
            </w:r>
          </w:p>
        </w:tc>
        <w:tc>
          <w:tcPr>
            <w:tcW w:w="700" w:type="dxa"/>
            <w:tcMar>
              <w:top w:w="0" w:type="dxa"/>
              <w:bottom w:w="0" w:type="dxa"/>
            </w:tcMar>
            <w:vAlign w:val="center"/>
          </w:tcPr>
          <w:p w14:paraId="1B65DCCF" w14:textId="77777777" w:rsidR="00B930BA" w:rsidRDefault="00000000">
            <w:pPr>
              <w:keepNext/>
              <w:keepLines/>
              <w:spacing w:after="0" w:line="240" w:lineRule="auto"/>
              <w:jc w:val="right"/>
            </w:pPr>
            <w:r>
              <w:rPr>
                <w:sz w:val="18"/>
              </w:rPr>
              <w:t>6,4</w:t>
            </w:r>
          </w:p>
        </w:tc>
      </w:tr>
    </w:tbl>
    <w:p w14:paraId="54B53060" w14:textId="77777777" w:rsidR="00B930BA" w:rsidRDefault="00B930BA">
      <w:pPr>
        <w:spacing w:after="0"/>
      </w:pPr>
    </w:p>
    <w:p w14:paraId="460DC4D7" w14:textId="77777777" w:rsidR="00B930BA" w:rsidRDefault="00000000">
      <w:r>
        <w:t>Šifra 17 - potraživanja od prodaje nefinancijske imovine u iznose 10.047,11 eura, a odnosi se na potraživanja za otkup zemljišta i stanova sa stanarskim pravom.</w:t>
      </w:r>
    </w:p>
    <w:p w14:paraId="19455083" w14:textId="77777777" w:rsidR="00B930BA" w:rsidRDefault="00B930BA"/>
    <w:p w14:paraId="132E745B" w14:textId="77777777" w:rsidR="00B930BA"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6903A5A" w14:textId="77777777">
        <w:trPr>
          <w:cantSplit/>
        </w:trPr>
        <w:tc>
          <w:tcPr>
            <w:tcW w:w="700" w:type="dxa"/>
            <w:shd w:val="clear" w:color="auto" w:fill="E7F0F9"/>
            <w:tcMar>
              <w:top w:w="0" w:type="dxa"/>
              <w:bottom w:w="0" w:type="dxa"/>
            </w:tcMar>
            <w:vAlign w:val="center"/>
          </w:tcPr>
          <w:p w14:paraId="78327476"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2AAD5EB"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DD665F"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AD27B8"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3D9BC8C"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32326B1" w14:textId="77777777" w:rsidR="00B930BA" w:rsidRDefault="00000000">
            <w:pPr>
              <w:keepNext/>
              <w:keepLines/>
              <w:spacing w:after="0" w:line="240" w:lineRule="auto"/>
              <w:jc w:val="center"/>
            </w:pPr>
            <w:r>
              <w:rPr>
                <w:b/>
                <w:sz w:val="18"/>
              </w:rPr>
              <w:t>Indeks (%)</w:t>
            </w:r>
          </w:p>
        </w:tc>
      </w:tr>
      <w:tr w:rsidR="00B930BA" w14:paraId="6F8900C1" w14:textId="77777777">
        <w:trPr>
          <w:cantSplit/>
          <w:trHeight w:val="560"/>
        </w:trPr>
        <w:tc>
          <w:tcPr>
            <w:tcW w:w="700" w:type="dxa"/>
            <w:tcMar>
              <w:top w:w="0" w:type="dxa"/>
              <w:bottom w:w="0" w:type="dxa"/>
            </w:tcMar>
            <w:vAlign w:val="center"/>
          </w:tcPr>
          <w:p w14:paraId="761B77AB" w14:textId="77777777" w:rsidR="00B930BA" w:rsidRDefault="00000000">
            <w:pPr>
              <w:keepNext/>
              <w:keepLines/>
              <w:spacing w:after="0" w:line="240" w:lineRule="auto"/>
            </w:pPr>
            <w:r>
              <w:rPr>
                <w:sz w:val="18"/>
              </w:rPr>
              <w:t>2</w:t>
            </w:r>
          </w:p>
        </w:tc>
        <w:tc>
          <w:tcPr>
            <w:tcW w:w="3180" w:type="dxa"/>
            <w:tcMar>
              <w:top w:w="0" w:type="dxa"/>
              <w:bottom w:w="0" w:type="dxa"/>
            </w:tcMar>
            <w:vAlign w:val="center"/>
          </w:tcPr>
          <w:p w14:paraId="16CAC752" w14:textId="77777777" w:rsidR="00B930BA" w:rsidRDefault="00000000">
            <w:pPr>
              <w:keepNext/>
              <w:keepLines/>
              <w:spacing w:after="0" w:line="240" w:lineRule="auto"/>
            </w:pPr>
            <w:r>
              <w:rPr>
                <w:sz w:val="18"/>
              </w:rPr>
              <w:t>Obveze (šifre 23+24+25+26+27+29)</w:t>
            </w:r>
          </w:p>
        </w:tc>
        <w:tc>
          <w:tcPr>
            <w:tcW w:w="700" w:type="dxa"/>
            <w:tcMar>
              <w:top w:w="0" w:type="dxa"/>
              <w:bottom w:w="0" w:type="dxa"/>
            </w:tcMar>
            <w:vAlign w:val="center"/>
          </w:tcPr>
          <w:p w14:paraId="7C4D535A" w14:textId="77777777" w:rsidR="00B930BA" w:rsidRDefault="00000000">
            <w:pPr>
              <w:keepNext/>
              <w:keepLines/>
              <w:spacing w:after="0" w:line="240" w:lineRule="auto"/>
            </w:pPr>
            <w:r>
              <w:rPr>
                <w:sz w:val="18"/>
              </w:rPr>
              <w:t>2</w:t>
            </w:r>
          </w:p>
        </w:tc>
        <w:tc>
          <w:tcPr>
            <w:tcW w:w="1860" w:type="dxa"/>
            <w:tcMar>
              <w:top w:w="0" w:type="dxa"/>
              <w:bottom w:w="0" w:type="dxa"/>
            </w:tcMar>
            <w:vAlign w:val="center"/>
          </w:tcPr>
          <w:p w14:paraId="3D83973C" w14:textId="77777777" w:rsidR="00B930BA" w:rsidRDefault="00000000">
            <w:pPr>
              <w:keepNext/>
              <w:keepLines/>
              <w:spacing w:after="0" w:line="240" w:lineRule="auto"/>
              <w:jc w:val="right"/>
            </w:pPr>
            <w:r>
              <w:rPr>
                <w:sz w:val="18"/>
              </w:rPr>
              <w:t>699.083,84</w:t>
            </w:r>
          </w:p>
        </w:tc>
        <w:tc>
          <w:tcPr>
            <w:tcW w:w="1860" w:type="dxa"/>
            <w:tcMar>
              <w:top w:w="0" w:type="dxa"/>
              <w:bottom w:w="0" w:type="dxa"/>
            </w:tcMar>
            <w:vAlign w:val="center"/>
          </w:tcPr>
          <w:p w14:paraId="7C4DB63B" w14:textId="77777777" w:rsidR="00B930BA" w:rsidRDefault="00000000">
            <w:pPr>
              <w:keepNext/>
              <w:keepLines/>
              <w:spacing w:after="0" w:line="240" w:lineRule="auto"/>
              <w:jc w:val="right"/>
            </w:pPr>
            <w:r>
              <w:rPr>
                <w:sz w:val="18"/>
              </w:rPr>
              <w:t>623.346,70</w:t>
            </w:r>
          </w:p>
        </w:tc>
        <w:tc>
          <w:tcPr>
            <w:tcW w:w="700" w:type="dxa"/>
            <w:tcMar>
              <w:top w:w="0" w:type="dxa"/>
              <w:bottom w:w="0" w:type="dxa"/>
            </w:tcMar>
            <w:vAlign w:val="center"/>
          </w:tcPr>
          <w:p w14:paraId="4C54E2AE" w14:textId="77777777" w:rsidR="00B930BA" w:rsidRDefault="00000000">
            <w:pPr>
              <w:keepNext/>
              <w:keepLines/>
              <w:spacing w:after="0" w:line="240" w:lineRule="auto"/>
              <w:jc w:val="right"/>
            </w:pPr>
            <w:r>
              <w:rPr>
                <w:sz w:val="18"/>
              </w:rPr>
              <w:t>89,2</w:t>
            </w:r>
          </w:p>
        </w:tc>
      </w:tr>
    </w:tbl>
    <w:p w14:paraId="75EEDA41" w14:textId="77777777" w:rsidR="00B930BA" w:rsidRDefault="00B930BA">
      <w:pPr>
        <w:spacing w:after="0"/>
      </w:pPr>
    </w:p>
    <w:p w14:paraId="6737F06A" w14:textId="77777777" w:rsidR="00B930BA" w:rsidRDefault="00000000">
      <w:r>
        <w:t>Šifra 2 - obveze - stanje na dan 01.01. je 699.083,84 eura, a 31.12. iznosi 623.346,70 eura što čini smanjenje za 0,8 %.</w:t>
      </w:r>
    </w:p>
    <w:p w14:paraId="680EF5A3" w14:textId="77777777" w:rsidR="00B930BA" w:rsidRDefault="00B930BA"/>
    <w:p w14:paraId="20F253F8" w14:textId="77777777" w:rsidR="00B930BA" w:rsidRDefault="00000000">
      <w:pPr>
        <w:keepNext/>
        <w:spacing w:line="240" w:lineRule="auto"/>
        <w:jc w:val="center"/>
      </w:pPr>
      <w:r>
        <w:rPr>
          <w:sz w:val="28"/>
        </w:rPr>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5CBAF33" w14:textId="77777777">
        <w:trPr>
          <w:cantSplit/>
        </w:trPr>
        <w:tc>
          <w:tcPr>
            <w:tcW w:w="700" w:type="dxa"/>
            <w:shd w:val="clear" w:color="auto" w:fill="E7F0F9"/>
            <w:tcMar>
              <w:top w:w="0" w:type="dxa"/>
              <w:bottom w:w="0" w:type="dxa"/>
            </w:tcMar>
            <w:vAlign w:val="center"/>
          </w:tcPr>
          <w:p w14:paraId="0B8C1E3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6F3A7C"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23641D"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C487CB"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9A8017"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730CA3F" w14:textId="77777777" w:rsidR="00B930BA" w:rsidRDefault="00000000">
            <w:pPr>
              <w:keepNext/>
              <w:keepLines/>
              <w:spacing w:after="0" w:line="240" w:lineRule="auto"/>
              <w:jc w:val="center"/>
            </w:pPr>
            <w:r>
              <w:rPr>
                <w:b/>
                <w:sz w:val="18"/>
              </w:rPr>
              <w:t>Indeks (%)</w:t>
            </w:r>
          </w:p>
        </w:tc>
      </w:tr>
      <w:tr w:rsidR="00B930BA" w14:paraId="71F80920" w14:textId="77777777">
        <w:trPr>
          <w:cantSplit/>
          <w:trHeight w:val="560"/>
        </w:trPr>
        <w:tc>
          <w:tcPr>
            <w:tcW w:w="700" w:type="dxa"/>
            <w:tcMar>
              <w:top w:w="0" w:type="dxa"/>
              <w:bottom w:w="0" w:type="dxa"/>
            </w:tcMar>
            <w:vAlign w:val="center"/>
          </w:tcPr>
          <w:p w14:paraId="620D08F9" w14:textId="77777777" w:rsidR="00B930BA" w:rsidRDefault="00000000">
            <w:pPr>
              <w:keepNext/>
              <w:keepLines/>
              <w:spacing w:after="0" w:line="240" w:lineRule="auto"/>
            </w:pPr>
            <w:r>
              <w:rPr>
                <w:sz w:val="18"/>
              </w:rPr>
              <w:t>231</w:t>
            </w:r>
          </w:p>
        </w:tc>
        <w:tc>
          <w:tcPr>
            <w:tcW w:w="3180" w:type="dxa"/>
            <w:tcMar>
              <w:top w:w="0" w:type="dxa"/>
              <w:bottom w:w="0" w:type="dxa"/>
            </w:tcMar>
            <w:vAlign w:val="center"/>
          </w:tcPr>
          <w:p w14:paraId="291E234E" w14:textId="77777777" w:rsidR="00B930BA" w:rsidRDefault="00000000">
            <w:pPr>
              <w:keepNext/>
              <w:keepLines/>
              <w:spacing w:after="0" w:line="240" w:lineRule="auto"/>
            </w:pPr>
            <w:r>
              <w:rPr>
                <w:sz w:val="18"/>
              </w:rPr>
              <w:t>Obveze za zaposlene</w:t>
            </w:r>
          </w:p>
        </w:tc>
        <w:tc>
          <w:tcPr>
            <w:tcW w:w="700" w:type="dxa"/>
            <w:tcMar>
              <w:top w:w="0" w:type="dxa"/>
              <w:bottom w:w="0" w:type="dxa"/>
            </w:tcMar>
            <w:vAlign w:val="center"/>
          </w:tcPr>
          <w:p w14:paraId="043D41EE" w14:textId="77777777" w:rsidR="00B930BA" w:rsidRDefault="00000000">
            <w:pPr>
              <w:keepNext/>
              <w:keepLines/>
              <w:spacing w:after="0" w:line="240" w:lineRule="auto"/>
            </w:pPr>
            <w:r>
              <w:rPr>
                <w:sz w:val="18"/>
              </w:rPr>
              <w:t>231</w:t>
            </w:r>
          </w:p>
        </w:tc>
        <w:tc>
          <w:tcPr>
            <w:tcW w:w="1860" w:type="dxa"/>
            <w:tcMar>
              <w:top w:w="0" w:type="dxa"/>
              <w:bottom w:w="0" w:type="dxa"/>
            </w:tcMar>
            <w:vAlign w:val="center"/>
          </w:tcPr>
          <w:p w14:paraId="3D16EBBA" w14:textId="77777777" w:rsidR="00B930BA" w:rsidRDefault="00000000">
            <w:pPr>
              <w:keepNext/>
              <w:keepLines/>
              <w:spacing w:after="0" w:line="240" w:lineRule="auto"/>
              <w:jc w:val="right"/>
            </w:pPr>
            <w:r>
              <w:rPr>
                <w:sz w:val="18"/>
              </w:rPr>
              <w:t>23.333,66</w:t>
            </w:r>
          </w:p>
        </w:tc>
        <w:tc>
          <w:tcPr>
            <w:tcW w:w="1860" w:type="dxa"/>
            <w:tcMar>
              <w:top w:w="0" w:type="dxa"/>
              <w:bottom w:w="0" w:type="dxa"/>
            </w:tcMar>
            <w:vAlign w:val="center"/>
          </w:tcPr>
          <w:p w14:paraId="335E151D" w14:textId="77777777" w:rsidR="00B930BA" w:rsidRDefault="00000000">
            <w:pPr>
              <w:keepNext/>
              <w:keepLines/>
              <w:spacing w:after="0" w:line="240" w:lineRule="auto"/>
              <w:jc w:val="right"/>
            </w:pPr>
            <w:r>
              <w:rPr>
                <w:sz w:val="18"/>
              </w:rPr>
              <w:t>40.337,30</w:t>
            </w:r>
          </w:p>
        </w:tc>
        <w:tc>
          <w:tcPr>
            <w:tcW w:w="700" w:type="dxa"/>
            <w:tcMar>
              <w:top w:w="0" w:type="dxa"/>
              <w:bottom w:w="0" w:type="dxa"/>
            </w:tcMar>
            <w:vAlign w:val="center"/>
          </w:tcPr>
          <w:p w14:paraId="3B5CCB82" w14:textId="77777777" w:rsidR="00B930BA" w:rsidRDefault="00000000">
            <w:pPr>
              <w:keepNext/>
              <w:keepLines/>
              <w:spacing w:after="0" w:line="240" w:lineRule="auto"/>
              <w:jc w:val="right"/>
            </w:pPr>
            <w:r>
              <w:rPr>
                <w:sz w:val="18"/>
              </w:rPr>
              <w:t>172,9</w:t>
            </w:r>
          </w:p>
        </w:tc>
      </w:tr>
    </w:tbl>
    <w:p w14:paraId="5382F4BA" w14:textId="77777777" w:rsidR="00B930BA" w:rsidRDefault="00B930BA">
      <w:pPr>
        <w:spacing w:after="0"/>
      </w:pPr>
    </w:p>
    <w:p w14:paraId="61F3772F" w14:textId="77777777" w:rsidR="00B930BA" w:rsidRDefault="00000000">
      <w:r>
        <w:t>Šifra 231 - evidentirane su obveze za zaposlene, tj. plaću za prosinac 2025. godine  u iznosu od 40.337,30 eura.</w:t>
      </w:r>
    </w:p>
    <w:p w14:paraId="54302A54" w14:textId="77777777" w:rsidR="00B930BA" w:rsidRDefault="00B930BA"/>
    <w:p w14:paraId="56D4B3B4" w14:textId="77777777" w:rsidR="00B930BA"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4070C7D" w14:textId="77777777">
        <w:trPr>
          <w:cantSplit/>
        </w:trPr>
        <w:tc>
          <w:tcPr>
            <w:tcW w:w="700" w:type="dxa"/>
            <w:shd w:val="clear" w:color="auto" w:fill="E7F0F9"/>
            <w:tcMar>
              <w:top w:w="0" w:type="dxa"/>
              <w:bottom w:w="0" w:type="dxa"/>
            </w:tcMar>
            <w:vAlign w:val="center"/>
          </w:tcPr>
          <w:p w14:paraId="38FEDC67"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5A375B"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0A730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EBACA3"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4A9B91"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C3EE5E9" w14:textId="77777777" w:rsidR="00B930BA" w:rsidRDefault="00000000">
            <w:pPr>
              <w:keepNext/>
              <w:keepLines/>
              <w:spacing w:after="0" w:line="240" w:lineRule="auto"/>
              <w:jc w:val="center"/>
            </w:pPr>
            <w:r>
              <w:rPr>
                <w:b/>
                <w:sz w:val="18"/>
              </w:rPr>
              <w:t>Indeks (%)</w:t>
            </w:r>
          </w:p>
        </w:tc>
      </w:tr>
      <w:tr w:rsidR="00B930BA" w14:paraId="120FF3F9" w14:textId="77777777">
        <w:trPr>
          <w:cantSplit/>
          <w:trHeight w:val="560"/>
        </w:trPr>
        <w:tc>
          <w:tcPr>
            <w:tcW w:w="700" w:type="dxa"/>
            <w:tcMar>
              <w:top w:w="0" w:type="dxa"/>
              <w:bottom w:w="0" w:type="dxa"/>
            </w:tcMar>
            <w:vAlign w:val="center"/>
          </w:tcPr>
          <w:p w14:paraId="3D76E004" w14:textId="77777777" w:rsidR="00B930BA" w:rsidRDefault="00000000">
            <w:pPr>
              <w:keepNext/>
              <w:keepLines/>
              <w:spacing w:after="0" w:line="240" w:lineRule="auto"/>
            </w:pPr>
            <w:r>
              <w:rPr>
                <w:sz w:val="18"/>
              </w:rPr>
              <w:t>232</w:t>
            </w:r>
          </w:p>
        </w:tc>
        <w:tc>
          <w:tcPr>
            <w:tcW w:w="3180" w:type="dxa"/>
            <w:tcMar>
              <w:top w:w="0" w:type="dxa"/>
              <w:bottom w:w="0" w:type="dxa"/>
            </w:tcMar>
            <w:vAlign w:val="center"/>
          </w:tcPr>
          <w:p w14:paraId="147CD3AB" w14:textId="77777777" w:rsidR="00B930BA" w:rsidRDefault="00000000">
            <w:pPr>
              <w:keepNext/>
              <w:keepLines/>
              <w:spacing w:after="0" w:line="240" w:lineRule="auto"/>
            </w:pPr>
            <w:r>
              <w:rPr>
                <w:sz w:val="18"/>
              </w:rPr>
              <w:t>Obveze za materijalne rashode</w:t>
            </w:r>
          </w:p>
        </w:tc>
        <w:tc>
          <w:tcPr>
            <w:tcW w:w="700" w:type="dxa"/>
            <w:tcMar>
              <w:top w:w="0" w:type="dxa"/>
              <w:bottom w:w="0" w:type="dxa"/>
            </w:tcMar>
            <w:vAlign w:val="center"/>
          </w:tcPr>
          <w:p w14:paraId="13D11546" w14:textId="77777777" w:rsidR="00B930BA" w:rsidRDefault="00000000">
            <w:pPr>
              <w:keepNext/>
              <w:keepLines/>
              <w:spacing w:after="0" w:line="240" w:lineRule="auto"/>
            </w:pPr>
            <w:r>
              <w:rPr>
                <w:sz w:val="18"/>
              </w:rPr>
              <w:t>232</w:t>
            </w:r>
          </w:p>
        </w:tc>
        <w:tc>
          <w:tcPr>
            <w:tcW w:w="1860" w:type="dxa"/>
            <w:tcMar>
              <w:top w:w="0" w:type="dxa"/>
              <w:bottom w:w="0" w:type="dxa"/>
            </w:tcMar>
            <w:vAlign w:val="center"/>
          </w:tcPr>
          <w:p w14:paraId="5729E336" w14:textId="77777777" w:rsidR="00B930BA" w:rsidRDefault="00000000">
            <w:pPr>
              <w:keepNext/>
              <w:keepLines/>
              <w:spacing w:after="0" w:line="240" w:lineRule="auto"/>
              <w:jc w:val="right"/>
            </w:pPr>
            <w:r>
              <w:rPr>
                <w:sz w:val="18"/>
              </w:rPr>
              <w:t>182.827,07</w:t>
            </w:r>
          </w:p>
        </w:tc>
        <w:tc>
          <w:tcPr>
            <w:tcW w:w="1860" w:type="dxa"/>
            <w:tcMar>
              <w:top w:w="0" w:type="dxa"/>
              <w:bottom w:w="0" w:type="dxa"/>
            </w:tcMar>
            <w:vAlign w:val="center"/>
          </w:tcPr>
          <w:p w14:paraId="7CFE8513" w14:textId="77777777" w:rsidR="00B930BA" w:rsidRDefault="00000000">
            <w:pPr>
              <w:keepNext/>
              <w:keepLines/>
              <w:spacing w:after="0" w:line="240" w:lineRule="auto"/>
              <w:jc w:val="right"/>
            </w:pPr>
            <w:r>
              <w:rPr>
                <w:sz w:val="18"/>
              </w:rPr>
              <w:t>193.966,40</w:t>
            </w:r>
          </w:p>
        </w:tc>
        <w:tc>
          <w:tcPr>
            <w:tcW w:w="700" w:type="dxa"/>
            <w:tcMar>
              <w:top w:w="0" w:type="dxa"/>
              <w:bottom w:w="0" w:type="dxa"/>
            </w:tcMar>
            <w:vAlign w:val="center"/>
          </w:tcPr>
          <w:p w14:paraId="4B4430C6" w14:textId="77777777" w:rsidR="00B930BA" w:rsidRDefault="00000000">
            <w:pPr>
              <w:keepNext/>
              <w:keepLines/>
              <w:spacing w:after="0" w:line="240" w:lineRule="auto"/>
              <w:jc w:val="right"/>
            </w:pPr>
            <w:r>
              <w:rPr>
                <w:sz w:val="18"/>
              </w:rPr>
              <w:t>106,1</w:t>
            </w:r>
          </w:p>
        </w:tc>
      </w:tr>
    </w:tbl>
    <w:p w14:paraId="090F5B59" w14:textId="77777777" w:rsidR="00B930BA" w:rsidRDefault="00B930BA">
      <w:pPr>
        <w:spacing w:after="0"/>
      </w:pPr>
    </w:p>
    <w:p w14:paraId="2D30082D" w14:textId="77777777" w:rsidR="00B930BA" w:rsidRDefault="00000000">
      <w:r>
        <w:t>Šifra 232 - evidentirane su obveze za materijalne rashode koje na dan 31.12.2025. godine iznose 193.966,40 eura što čini povećanje za 6,1 % u odnosu na stanje na dan 01.1.2025. godine.</w:t>
      </w:r>
    </w:p>
    <w:p w14:paraId="26B66B95" w14:textId="77777777" w:rsidR="00B930BA" w:rsidRDefault="00B930BA"/>
    <w:p w14:paraId="3F4A06AD" w14:textId="77777777" w:rsidR="00B930BA"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7DF0835" w14:textId="77777777">
        <w:trPr>
          <w:cantSplit/>
        </w:trPr>
        <w:tc>
          <w:tcPr>
            <w:tcW w:w="700" w:type="dxa"/>
            <w:shd w:val="clear" w:color="auto" w:fill="E7F0F9"/>
            <w:tcMar>
              <w:top w:w="0" w:type="dxa"/>
              <w:bottom w:w="0" w:type="dxa"/>
            </w:tcMar>
            <w:vAlign w:val="center"/>
          </w:tcPr>
          <w:p w14:paraId="15EEE2A2"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7914C8"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1EEB6A"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3A022C"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D722275"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A0BF7D" w14:textId="77777777" w:rsidR="00B930BA" w:rsidRDefault="00000000">
            <w:pPr>
              <w:keepNext/>
              <w:keepLines/>
              <w:spacing w:after="0" w:line="240" w:lineRule="auto"/>
              <w:jc w:val="center"/>
            </w:pPr>
            <w:r>
              <w:rPr>
                <w:b/>
                <w:sz w:val="18"/>
              </w:rPr>
              <w:t>Indeks (%)</w:t>
            </w:r>
          </w:p>
        </w:tc>
      </w:tr>
      <w:tr w:rsidR="00B930BA" w14:paraId="1A476E30" w14:textId="77777777">
        <w:trPr>
          <w:cantSplit/>
          <w:trHeight w:val="560"/>
        </w:trPr>
        <w:tc>
          <w:tcPr>
            <w:tcW w:w="700" w:type="dxa"/>
            <w:tcMar>
              <w:top w:w="0" w:type="dxa"/>
              <w:bottom w:w="0" w:type="dxa"/>
            </w:tcMar>
            <w:vAlign w:val="center"/>
          </w:tcPr>
          <w:p w14:paraId="424AC560" w14:textId="77777777" w:rsidR="00B930BA" w:rsidRDefault="00000000">
            <w:pPr>
              <w:keepNext/>
              <w:keepLines/>
              <w:spacing w:after="0" w:line="240" w:lineRule="auto"/>
            </w:pPr>
            <w:r>
              <w:rPr>
                <w:sz w:val="18"/>
              </w:rPr>
              <w:t>236</w:t>
            </w:r>
          </w:p>
        </w:tc>
        <w:tc>
          <w:tcPr>
            <w:tcW w:w="3180" w:type="dxa"/>
            <w:tcMar>
              <w:top w:w="0" w:type="dxa"/>
              <w:bottom w:w="0" w:type="dxa"/>
            </w:tcMar>
            <w:vAlign w:val="center"/>
          </w:tcPr>
          <w:p w14:paraId="4982D1E9" w14:textId="77777777" w:rsidR="00B930BA" w:rsidRDefault="00000000">
            <w:pPr>
              <w:keepNext/>
              <w:keepLines/>
              <w:spacing w:after="0" w:line="240" w:lineRule="auto"/>
            </w:pPr>
            <w:r>
              <w:rPr>
                <w:sz w:val="18"/>
              </w:rPr>
              <w:t>Obveze za pomoći dane u inozemstvo i unutar općeg proračuna (šifre 2361 do 2368)</w:t>
            </w:r>
          </w:p>
        </w:tc>
        <w:tc>
          <w:tcPr>
            <w:tcW w:w="700" w:type="dxa"/>
            <w:tcMar>
              <w:top w:w="0" w:type="dxa"/>
              <w:bottom w:w="0" w:type="dxa"/>
            </w:tcMar>
            <w:vAlign w:val="center"/>
          </w:tcPr>
          <w:p w14:paraId="3ABBAFE9" w14:textId="77777777" w:rsidR="00B930BA" w:rsidRDefault="00000000">
            <w:pPr>
              <w:keepNext/>
              <w:keepLines/>
              <w:spacing w:after="0" w:line="240" w:lineRule="auto"/>
            </w:pPr>
            <w:r>
              <w:rPr>
                <w:sz w:val="18"/>
              </w:rPr>
              <w:t>236</w:t>
            </w:r>
          </w:p>
        </w:tc>
        <w:tc>
          <w:tcPr>
            <w:tcW w:w="1860" w:type="dxa"/>
            <w:tcMar>
              <w:top w:w="0" w:type="dxa"/>
              <w:bottom w:w="0" w:type="dxa"/>
            </w:tcMar>
            <w:vAlign w:val="center"/>
          </w:tcPr>
          <w:p w14:paraId="4D58566F" w14:textId="77777777" w:rsidR="00B930BA" w:rsidRDefault="00000000">
            <w:pPr>
              <w:keepNext/>
              <w:keepLines/>
              <w:spacing w:after="0" w:line="240" w:lineRule="auto"/>
              <w:jc w:val="right"/>
            </w:pPr>
            <w:r>
              <w:rPr>
                <w:sz w:val="18"/>
              </w:rPr>
              <w:t>80,29</w:t>
            </w:r>
          </w:p>
        </w:tc>
        <w:tc>
          <w:tcPr>
            <w:tcW w:w="1860" w:type="dxa"/>
            <w:tcMar>
              <w:top w:w="0" w:type="dxa"/>
              <w:bottom w:w="0" w:type="dxa"/>
            </w:tcMar>
            <w:vAlign w:val="center"/>
          </w:tcPr>
          <w:p w14:paraId="50F8C387" w14:textId="77777777" w:rsidR="00B930BA" w:rsidRDefault="00000000">
            <w:pPr>
              <w:keepNext/>
              <w:keepLines/>
              <w:spacing w:after="0" w:line="240" w:lineRule="auto"/>
              <w:jc w:val="right"/>
            </w:pPr>
            <w:r>
              <w:rPr>
                <w:sz w:val="18"/>
              </w:rPr>
              <w:t>5.745,23</w:t>
            </w:r>
          </w:p>
        </w:tc>
        <w:tc>
          <w:tcPr>
            <w:tcW w:w="700" w:type="dxa"/>
            <w:tcMar>
              <w:top w:w="0" w:type="dxa"/>
              <w:bottom w:w="0" w:type="dxa"/>
            </w:tcMar>
            <w:vAlign w:val="center"/>
          </w:tcPr>
          <w:p w14:paraId="7271FEC3" w14:textId="77777777" w:rsidR="00B930BA" w:rsidRDefault="00000000">
            <w:pPr>
              <w:keepNext/>
              <w:keepLines/>
              <w:spacing w:after="0" w:line="240" w:lineRule="auto"/>
              <w:jc w:val="right"/>
            </w:pPr>
            <w:r>
              <w:rPr>
                <w:sz w:val="18"/>
              </w:rPr>
              <w:t>7155,6</w:t>
            </w:r>
          </w:p>
        </w:tc>
      </w:tr>
    </w:tbl>
    <w:p w14:paraId="415AD7EB" w14:textId="77777777" w:rsidR="00B930BA" w:rsidRDefault="00B930BA">
      <w:pPr>
        <w:spacing w:after="0"/>
      </w:pPr>
    </w:p>
    <w:p w14:paraId="551A19DA" w14:textId="77777777" w:rsidR="00B930BA" w:rsidRDefault="00000000">
      <w:r>
        <w:t>Šifra 236 - evidentirane su obveze za pomoći dane u inozemstvo i unutar općeg proračuna koje na dan 31.12.2025. godine iznose 5.745,23 eura što čini povećanje za &gt;&gt;1.000 % u odnosu na stanje na dan 01.1.2025. godine.</w:t>
      </w:r>
    </w:p>
    <w:p w14:paraId="655EA4F9" w14:textId="77777777" w:rsidR="00B930BA" w:rsidRDefault="00B930BA"/>
    <w:p w14:paraId="7AEBCA0E" w14:textId="77777777" w:rsidR="00B930BA" w:rsidRDefault="00000000">
      <w:pPr>
        <w:keepNext/>
        <w:spacing w:line="240" w:lineRule="auto"/>
        <w:jc w:val="center"/>
      </w:pPr>
      <w:r>
        <w:rPr>
          <w:sz w:val="28"/>
        </w:rPr>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89C2DE1" w14:textId="77777777">
        <w:trPr>
          <w:cantSplit/>
        </w:trPr>
        <w:tc>
          <w:tcPr>
            <w:tcW w:w="700" w:type="dxa"/>
            <w:shd w:val="clear" w:color="auto" w:fill="E7F0F9"/>
            <w:tcMar>
              <w:top w:w="0" w:type="dxa"/>
              <w:bottom w:w="0" w:type="dxa"/>
            </w:tcMar>
            <w:vAlign w:val="center"/>
          </w:tcPr>
          <w:p w14:paraId="42B386FA"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C4E0374"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E762CA"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C5BDB7"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0C099E"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3D9E112" w14:textId="77777777" w:rsidR="00B930BA" w:rsidRDefault="00000000">
            <w:pPr>
              <w:keepNext/>
              <w:keepLines/>
              <w:spacing w:after="0" w:line="240" w:lineRule="auto"/>
              <w:jc w:val="center"/>
            </w:pPr>
            <w:r>
              <w:rPr>
                <w:b/>
                <w:sz w:val="18"/>
              </w:rPr>
              <w:t>Indeks (%)</w:t>
            </w:r>
          </w:p>
        </w:tc>
      </w:tr>
      <w:tr w:rsidR="00B930BA" w14:paraId="613CBD1A" w14:textId="77777777">
        <w:trPr>
          <w:cantSplit/>
          <w:trHeight w:val="560"/>
        </w:trPr>
        <w:tc>
          <w:tcPr>
            <w:tcW w:w="700" w:type="dxa"/>
            <w:tcMar>
              <w:top w:w="0" w:type="dxa"/>
              <w:bottom w:w="0" w:type="dxa"/>
            </w:tcMar>
            <w:vAlign w:val="center"/>
          </w:tcPr>
          <w:p w14:paraId="7A98EF5F" w14:textId="77777777" w:rsidR="00B930BA" w:rsidRDefault="00000000">
            <w:pPr>
              <w:keepNext/>
              <w:keepLines/>
              <w:spacing w:after="0" w:line="240" w:lineRule="auto"/>
            </w:pPr>
            <w:r>
              <w:rPr>
                <w:sz w:val="18"/>
              </w:rPr>
              <w:t>237</w:t>
            </w:r>
          </w:p>
        </w:tc>
        <w:tc>
          <w:tcPr>
            <w:tcW w:w="3180" w:type="dxa"/>
            <w:tcMar>
              <w:top w:w="0" w:type="dxa"/>
              <w:bottom w:w="0" w:type="dxa"/>
            </w:tcMar>
            <w:vAlign w:val="center"/>
          </w:tcPr>
          <w:p w14:paraId="5823F929" w14:textId="77777777" w:rsidR="00B930BA" w:rsidRDefault="00000000">
            <w:pPr>
              <w:keepNext/>
              <w:keepLines/>
              <w:spacing w:after="0" w:line="240" w:lineRule="auto"/>
            </w:pPr>
            <w:r>
              <w:rPr>
                <w:sz w:val="18"/>
              </w:rPr>
              <w:t>Obveze za naknade građanima i kućanstvima</w:t>
            </w:r>
          </w:p>
        </w:tc>
        <w:tc>
          <w:tcPr>
            <w:tcW w:w="700" w:type="dxa"/>
            <w:tcMar>
              <w:top w:w="0" w:type="dxa"/>
              <w:bottom w:w="0" w:type="dxa"/>
            </w:tcMar>
            <w:vAlign w:val="center"/>
          </w:tcPr>
          <w:p w14:paraId="771A783A" w14:textId="77777777" w:rsidR="00B930BA" w:rsidRDefault="00000000">
            <w:pPr>
              <w:keepNext/>
              <w:keepLines/>
              <w:spacing w:after="0" w:line="240" w:lineRule="auto"/>
            </w:pPr>
            <w:r>
              <w:rPr>
                <w:sz w:val="18"/>
              </w:rPr>
              <w:t>237</w:t>
            </w:r>
          </w:p>
        </w:tc>
        <w:tc>
          <w:tcPr>
            <w:tcW w:w="1860" w:type="dxa"/>
            <w:tcMar>
              <w:top w:w="0" w:type="dxa"/>
              <w:bottom w:w="0" w:type="dxa"/>
            </w:tcMar>
            <w:vAlign w:val="center"/>
          </w:tcPr>
          <w:p w14:paraId="4D833D35" w14:textId="77777777" w:rsidR="00B930BA" w:rsidRDefault="00000000">
            <w:pPr>
              <w:keepNext/>
              <w:keepLines/>
              <w:spacing w:after="0" w:line="240" w:lineRule="auto"/>
              <w:jc w:val="right"/>
            </w:pPr>
            <w:r>
              <w:rPr>
                <w:sz w:val="18"/>
              </w:rPr>
              <w:t>927,94</w:t>
            </w:r>
          </w:p>
        </w:tc>
        <w:tc>
          <w:tcPr>
            <w:tcW w:w="1860" w:type="dxa"/>
            <w:tcMar>
              <w:top w:w="0" w:type="dxa"/>
              <w:bottom w:w="0" w:type="dxa"/>
            </w:tcMar>
            <w:vAlign w:val="center"/>
          </w:tcPr>
          <w:p w14:paraId="3ED00913" w14:textId="77777777" w:rsidR="00B930BA" w:rsidRDefault="00000000">
            <w:pPr>
              <w:keepNext/>
              <w:keepLines/>
              <w:spacing w:after="0" w:line="240" w:lineRule="auto"/>
              <w:jc w:val="right"/>
            </w:pPr>
            <w:r>
              <w:rPr>
                <w:sz w:val="18"/>
              </w:rPr>
              <w:t>31.553,70</w:t>
            </w:r>
          </w:p>
        </w:tc>
        <w:tc>
          <w:tcPr>
            <w:tcW w:w="700" w:type="dxa"/>
            <w:tcMar>
              <w:top w:w="0" w:type="dxa"/>
              <w:bottom w:w="0" w:type="dxa"/>
            </w:tcMar>
            <w:vAlign w:val="center"/>
          </w:tcPr>
          <w:p w14:paraId="4DF8EA2E" w14:textId="77777777" w:rsidR="00B930BA" w:rsidRDefault="00000000">
            <w:pPr>
              <w:keepNext/>
              <w:keepLines/>
              <w:spacing w:after="0" w:line="240" w:lineRule="auto"/>
              <w:jc w:val="right"/>
            </w:pPr>
            <w:r>
              <w:rPr>
                <w:sz w:val="18"/>
              </w:rPr>
              <w:t>3400,4</w:t>
            </w:r>
          </w:p>
        </w:tc>
      </w:tr>
    </w:tbl>
    <w:p w14:paraId="722F78D7" w14:textId="77777777" w:rsidR="00B930BA" w:rsidRDefault="00B930BA">
      <w:pPr>
        <w:spacing w:after="0"/>
      </w:pPr>
    </w:p>
    <w:p w14:paraId="223BCD9D" w14:textId="77777777" w:rsidR="00B930BA" w:rsidRDefault="00000000">
      <w:r>
        <w:t>Šifra 237 - evidentirane su obveze za naknade građanima i kućanstvima koje na dan 31.12.2025. godine iznose 31.553,70 eura što čini povećanje za &gt;&gt;1.000 % u odnosu na stanje na dan 01.1.2025. godine.</w:t>
      </w:r>
    </w:p>
    <w:p w14:paraId="6B4BBD19" w14:textId="77777777" w:rsidR="00B930BA" w:rsidRDefault="00B930BA"/>
    <w:p w14:paraId="53A269B5" w14:textId="77777777" w:rsidR="00B930BA"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3244983E" w14:textId="77777777">
        <w:trPr>
          <w:cantSplit/>
        </w:trPr>
        <w:tc>
          <w:tcPr>
            <w:tcW w:w="700" w:type="dxa"/>
            <w:shd w:val="clear" w:color="auto" w:fill="E7F0F9"/>
            <w:tcMar>
              <w:top w:w="0" w:type="dxa"/>
              <w:bottom w:w="0" w:type="dxa"/>
            </w:tcMar>
            <w:vAlign w:val="center"/>
          </w:tcPr>
          <w:p w14:paraId="18BE27E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0CEEDA"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414A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96DB6"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6C2C28C"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8AE501F" w14:textId="77777777" w:rsidR="00B930BA" w:rsidRDefault="00000000">
            <w:pPr>
              <w:keepNext/>
              <w:keepLines/>
              <w:spacing w:after="0" w:line="240" w:lineRule="auto"/>
              <w:jc w:val="center"/>
            </w:pPr>
            <w:r>
              <w:rPr>
                <w:b/>
                <w:sz w:val="18"/>
              </w:rPr>
              <w:t>Indeks (%)</w:t>
            </w:r>
          </w:p>
        </w:tc>
      </w:tr>
      <w:tr w:rsidR="00B930BA" w14:paraId="1E315929" w14:textId="77777777">
        <w:trPr>
          <w:cantSplit/>
          <w:trHeight w:val="560"/>
        </w:trPr>
        <w:tc>
          <w:tcPr>
            <w:tcW w:w="700" w:type="dxa"/>
            <w:tcMar>
              <w:top w:w="0" w:type="dxa"/>
              <w:bottom w:w="0" w:type="dxa"/>
            </w:tcMar>
            <w:vAlign w:val="center"/>
          </w:tcPr>
          <w:p w14:paraId="0C915A58" w14:textId="77777777" w:rsidR="00B930BA" w:rsidRDefault="00000000">
            <w:pPr>
              <w:keepNext/>
              <w:keepLines/>
              <w:spacing w:after="0" w:line="240" w:lineRule="auto"/>
            </w:pPr>
            <w:r>
              <w:rPr>
                <w:sz w:val="18"/>
              </w:rPr>
              <w:t>238</w:t>
            </w:r>
          </w:p>
        </w:tc>
        <w:tc>
          <w:tcPr>
            <w:tcW w:w="3180" w:type="dxa"/>
            <w:tcMar>
              <w:top w:w="0" w:type="dxa"/>
              <w:bottom w:w="0" w:type="dxa"/>
            </w:tcMar>
            <w:vAlign w:val="center"/>
          </w:tcPr>
          <w:p w14:paraId="3F4390F3" w14:textId="77777777" w:rsidR="00B930BA" w:rsidRDefault="00000000">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1E1C8FD9" w14:textId="77777777" w:rsidR="00B930BA" w:rsidRDefault="00000000">
            <w:pPr>
              <w:keepNext/>
              <w:keepLines/>
              <w:spacing w:after="0" w:line="240" w:lineRule="auto"/>
            </w:pPr>
            <w:r>
              <w:rPr>
                <w:sz w:val="18"/>
              </w:rPr>
              <w:t>238</w:t>
            </w:r>
          </w:p>
        </w:tc>
        <w:tc>
          <w:tcPr>
            <w:tcW w:w="1860" w:type="dxa"/>
            <w:tcMar>
              <w:top w:w="0" w:type="dxa"/>
              <w:bottom w:w="0" w:type="dxa"/>
            </w:tcMar>
            <w:vAlign w:val="center"/>
          </w:tcPr>
          <w:p w14:paraId="48C73BF1" w14:textId="77777777" w:rsidR="00B930BA" w:rsidRDefault="00000000">
            <w:pPr>
              <w:keepNext/>
              <w:keepLines/>
              <w:spacing w:after="0" w:line="240" w:lineRule="auto"/>
              <w:jc w:val="right"/>
            </w:pPr>
            <w:r>
              <w:rPr>
                <w:sz w:val="18"/>
              </w:rPr>
              <w:t>2.660,00</w:t>
            </w:r>
          </w:p>
        </w:tc>
        <w:tc>
          <w:tcPr>
            <w:tcW w:w="1860" w:type="dxa"/>
            <w:tcMar>
              <w:top w:w="0" w:type="dxa"/>
              <w:bottom w:w="0" w:type="dxa"/>
            </w:tcMar>
            <w:vAlign w:val="center"/>
          </w:tcPr>
          <w:p w14:paraId="1E536AAA" w14:textId="77777777" w:rsidR="00B930BA" w:rsidRDefault="00000000">
            <w:pPr>
              <w:keepNext/>
              <w:keepLines/>
              <w:spacing w:after="0" w:line="240" w:lineRule="auto"/>
              <w:jc w:val="right"/>
            </w:pPr>
            <w:r>
              <w:rPr>
                <w:sz w:val="18"/>
              </w:rPr>
              <w:t>11.697,36</w:t>
            </w:r>
          </w:p>
        </w:tc>
        <w:tc>
          <w:tcPr>
            <w:tcW w:w="700" w:type="dxa"/>
            <w:tcMar>
              <w:top w:w="0" w:type="dxa"/>
              <w:bottom w:w="0" w:type="dxa"/>
            </w:tcMar>
            <w:vAlign w:val="center"/>
          </w:tcPr>
          <w:p w14:paraId="012FB4A2" w14:textId="77777777" w:rsidR="00B930BA" w:rsidRDefault="00000000">
            <w:pPr>
              <w:keepNext/>
              <w:keepLines/>
              <w:spacing w:after="0" w:line="240" w:lineRule="auto"/>
              <w:jc w:val="right"/>
            </w:pPr>
            <w:r>
              <w:rPr>
                <w:sz w:val="18"/>
              </w:rPr>
              <w:t>439,8</w:t>
            </w:r>
          </w:p>
        </w:tc>
      </w:tr>
    </w:tbl>
    <w:p w14:paraId="6636371C" w14:textId="77777777" w:rsidR="00B930BA" w:rsidRDefault="00B930BA">
      <w:pPr>
        <w:spacing w:after="0"/>
      </w:pPr>
    </w:p>
    <w:p w14:paraId="48ED21DF" w14:textId="77777777" w:rsidR="00B930BA" w:rsidRDefault="00000000">
      <w:r>
        <w:t>Šifra 238 - evidentirane su obveze za donacije, kazne, naknade šteta i kapitalne pomoći koje na dan 31.12.2025. godine iznose 311.697,36 eura što čini povećanje za &gt;&gt;100 % u odnosu na stanje na dan 01.1.2025. godine.</w:t>
      </w:r>
    </w:p>
    <w:p w14:paraId="4C39515C" w14:textId="77777777" w:rsidR="00B930BA" w:rsidRDefault="00B930BA"/>
    <w:p w14:paraId="4DF31F19" w14:textId="77777777" w:rsidR="00B930BA"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0091CEE" w14:textId="77777777">
        <w:trPr>
          <w:cantSplit/>
        </w:trPr>
        <w:tc>
          <w:tcPr>
            <w:tcW w:w="700" w:type="dxa"/>
            <w:shd w:val="clear" w:color="auto" w:fill="E7F0F9"/>
            <w:tcMar>
              <w:top w:w="0" w:type="dxa"/>
              <w:bottom w:w="0" w:type="dxa"/>
            </w:tcMar>
            <w:vAlign w:val="center"/>
          </w:tcPr>
          <w:p w14:paraId="02FCD269"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820AED5"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DFED0F"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63477"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676ECF"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12A9CF" w14:textId="77777777" w:rsidR="00B930BA" w:rsidRDefault="00000000">
            <w:pPr>
              <w:keepNext/>
              <w:keepLines/>
              <w:spacing w:after="0" w:line="240" w:lineRule="auto"/>
              <w:jc w:val="center"/>
            </w:pPr>
            <w:r>
              <w:rPr>
                <w:b/>
                <w:sz w:val="18"/>
              </w:rPr>
              <w:t>Indeks (%)</w:t>
            </w:r>
          </w:p>
        </w:tc>
      </w:tr>
      <w:tr w:rsidR="00B930BA" w14:paraId="6E599E96" w14:textId="77777777">
        <w:trPr>
          <w:cantSplit/>
          <w:trHeight w:val="560"/>
        </w:trPr>
        <w:tc>
          <w:tcPr>
            <w:tcW w:w="700" w:type="dxa"/>
            <w:tcMar>
              <w:top w:w="0" w:type="dxa"/>
              <w:bottom w:w="0" w:type="dxa"/>
            </w:tcMar>
            <w:vAlign w:val="center"/>
          </w:tcPr>
          <w:p w14:paraId="18A788D1" w14:textId="77777777" w:rsidR="00B930BA" w:rsidRDefault="00000000">
            <w:pPr>
              <w:keepNext/>
              <w:keepLines/>
              <w:spacing w:after="0" w:line="240" w:lineRule="auto"/>
            </w:pPr>
            <w:r>
              <w:rPr>
                <w:sz w:val="18"/>
              </w:rPr>
              <w:t>24</w:t>
            </w:r>
          </w:p>
        </w:tc>
        <w:tc>
          <w:tcPr>
            <w:tcW w:w="3180" w:type="dxa"/>
            <w:tcMar>
              <w:top w:w="0" w:type="dxa"/>
              <w:bottom w:w="0" w:type="dxa"/>
            </w:tcMar>
            <w:vAlign w:val="center"/>
          </w:tcPr>
          <w:p w14:paraId="6E386FCC" w14:textId="77777777" w:rsidR="00B930BA" w:rsidRDefault="00000000">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0625D5F5" w14:textId="77777777" w:rsidR="00B930BA" w:rsidRDefault="00000000">
            <w:pPr>
              <w:keepNext/>
              <w:keepLines/>
              <w:spacing w:after="0" w:line="240" w:lineRule="auto"/>
            </w:pPr>
            <w:r>
              <w:rPr>
                <w:sz w:val="18"/>
              </w:rPr>
              <w:t>24</w:t>
            </w:r>
          </w:p>
        </w:tc>
        <w:tc>
          <w:tcPr>
            <w:tcW w:w="1860" w:type="dxa"/>
            <w:tcMar>
              <w:top w:w="0" w:type="dxa"/>
              <w:bottom w:w="0" w:type="dxa"/>
            </w:tcMar>
            <w:vAlign w:val="center"/>
          </w:tcPr>
          <w:p w14:paraId="748DBA65" w14:textId="77777777" w:rsidR="00B930BA" w:rsidRDefault="00000000">
            <w:pPr>
              <w:keepNext/>
              <w:keepLines/>
              <w:spacing w:after="0" w:line="240" w:lineRule="auto"/>
              <w:jc w:val="right"/>
            </w:pPr>
            <w:r>
              <w:rPr>
                <w:sz w:val="18"/>
              </w:rPr>
              <w:t>26.030,62</w:t>
            </w:r>
          </w:p>
        </w:tc>
        <w:tc>
          <w:tcPr>
            <w:tcW w:w="1860" w:type="dxa"/>
            <w:tcMar>
              <w:top w:w="0" w:type="dxa"/>
              <w:bottom w:w="0" w:type="dxa"/>
            </w:tcMar>
            <w:vAlign w:val="center"/>
          </w:tcPr>
          <w:p w14:paraId="7C349CD7" w14:textId="77777777" w:rsidR="00B930BA" w:rsidRDefault="00000000">
            <w:pPr>
              <w:keepNext/>
              <w:keepLines/>
              <w:spacing w:after="0" w:line="240" w:lineRule="auto"/>
              <w:jc w:val="right"/>
            </w:pPr>
            <w:r>
              <w:rPr>
                <w:sz w:val="18"/>
              </w:rPr>
              <w:t>49.156,37</w:t>
            </w:r>
          </w:p>
        </w:tc>
        <w:tc>
          <w:tcPr>
            <w:tcW w:w="700" w:type="dxa"/>
            <w:tcMar>
              <w:top w:w="0" w:type="dxa"/>
              <w:bottom w:w="0" w:type="dxa"/>
            </w:tcMar>
            <w:vAlign w:val="center"/>
          </w:tcPr>
          <w:p w14:paraId="0971D088" w14:textId="77777777" w:rsidR="00B930BA" w:rsidRDefault="00000000">
            <w:pPr>
              <w:keepNext/>
              <w:keepLines/>
              <w:spacing w:after="0" w:line="240" w:lineRule="auto"/>
              <w:jc w:val="right"/>
            </w:pPr>
            <w:r>
              <w:rPr>
                <w:sz w:val="18"/>
              </w:rPr>
              <w:t>188,8</w:t>
            </w:r>
          </w:p>
        </w:tc>
      </w:tr>
    </w:tbl>
    <w:p w14:paraId="7F25CEA2" w14:textId="77777777" w:rsidR="00B930BA" w:rsidRDefault="00B930BA">
      <w:pPr>
        <w:spacing w:after="0"/>
      </w:pPr>
    </w:p>
    <w:p w14:paraId="68751DA7" w14:textId="77777777" w:rsidR="00B930BA" w:rsidRDefault="00000000">
      <w:r>
        <w:t>Šifra 24 - obveze za nabavu nefinancijske imovine - stanje na dan 01.01. je 26.030,62 eura, a 31.12. iznosi 49.156,37 eura što čini povećanje za 88,8 %. Povećanje obveza odnosi se na povećanje unutar pozicije obveza za nabavu proizvedene dugotrajne imovine.</w:t>
      </w:r>
    </w:p>
    <w:p w14:paraId="6FFF72CC" w14:textId="77777777" w:rsidR="00B930BA" w:rsidRDefault="00B930BA"/>
    <w:p w14:paraId="35E3E1DD" w14:textId="77777777" w:rsidR="00B930BA" w:rsidRDefault="00000000">
      <w:pPr>
        <w:keepNext/>
        <w:spacing w:line="240" w:lineRule="auto"/>
        <w:jc w:val="center"/>
      </w:pPr>
      <w:r>
        <w:rPr>
          <w:sz w:val="28"/>
        </w:rPr>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2968C6B" w14:textId="77777777">
        <w:trPr>
          <w:cantSplit/>
        </w:trPr>
        <w:tc>
          <w:tcPr>
            <w:tcW w:w="700" w:type="dxa"/>
            <w:shd w:val="clear" w:color="auto" w:fill="E7F0F9"/>
            <w:tcMar>
              <w:top w:w="0" w:type="dxa"/>
              <w:bottom w:w="0" w:type="dxa"/>
            </w:tcMar>
            <w:vAlign w:val="center"/>
          </w:tcPr>
          <w:p w14:paraId="025CA88A"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BA7406"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01E560"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C93A29"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C93021"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94837EF" w14:textId="77777777" w:rsidR="00B930BA" w:rsidRDefault="00000000">
            <w:pPr>
              <w:keepNext/>
              <w:keepLines/>
              <w:spacing w:after="0" w:line="240" w:lineRule="auto"/>
              <w:jc w:val="center"/>
            </w:pPr>
            <w:r>
              <w:rPr>
                <w:b/>
                <w:sz w:val="18"/>
              </w:rPr>
              <w:t>Indeks (%)</w:t>
            </w:r>
          </w:p>
        </w:tc>
      </w:tr>
      <w:tr w:rsidR="00B930BA" w14:paraId="3FAADD8C" w14:textId="77777777">
        <w:trPr>
          <w:cantSplit/>
          <w:trHeight w:val="560"/>
        </w:trPr>
        <w:tc>
          <w:tcPr>
            <w:tcW w:w="700" w:type="dxa"/>
            <w:tcMar>
              <w:top w:w="0" w:type="dxa"/>
              <w:bottom w:w="0" w:type="dxa"/>
            </w:tcMar>
            <w:vAlign w:val="center"/>
          </w:tcPr>
          <w:p w14:paraId="64958803" w14:textId="77777777" w:rsidR="00B930BA" w:rsidRDefault="00000000">
            <w:pPr>
              <w:keepNext/>
              <w:keepLines/>
              <w:spacing w:after="0" w:line="240" w:lineRule="auto"/>
            </w:pPr>
            <w:r>
              <w:rPr>
                <w:sz w:val="18"/>
              </w:rPr>
              <w:t>26</w:t>
            </w:r>
          </w:p>
        </w:tc>
        <w:tc>
          <w:tcPr>
            <w:tcW w:w="3180" w:type="dxa"/>
            <w:tcMar>
              <w:top w:w="0" w:type="dxa"/>
              <w:bottom w:w="0" w:type="dxa"/>
            </w:tcMar>
            <w:vAlign w:val="center"/>
          </w:tcPr>
          <w:p w14:paraId="578FBC33" w14:textId="77777777" w:rsidR="00B930BA" w:rsidRDefault="00000000">
            <w:pPr>
              <w:keepNext/>
              <w:keepLines/>
              <w:spacing w:after="0" w:line="240" w:lineRule="auto"/>
            </w:pPr>
            <w:r>
              <w:rPr>
                <w:sz w:val="18"/>
              </w:rPr>
              <w:t>Obveze za kredite i zajmove (šifre 26X1+26X2)</w:t>
            </w:r>
          </w:p>
        </w:tc>
        <w:tc>
          <w:tcPr>
            <w:tcW w:w="700" w:type="dxa"/>
            <w:tcMar>
              <w:top w:w="0" w:type="dxa"/>
              <w:bottom w:w="0" w:type="dxa"/>
            </w:tcMar>
            <w:vAlign w:val="center"/>
          </w:tcPr>
          <w:p w14:paraId="4033CA97" w14:textId="77777777" w:rsidR="00B930BA" w:rsidRDefault="00000000">
            <w:pPr>
              <w:keepNext/>
              <w:keepLines/>
              <w:spacing w:after="0" w:line="240" w:lineRule="auto"/>
            </w:pPr>
            <w:r>
              <w:rPr>
                <w:sz w:val="18"/>
              </w:rPr>
              <w:t>26</w:t>
            </w:r>
          </w:p>
        </w:tc>
        <w:tc>
          <w:tcPr>
            <w:tcW w:w="1860" w:type="dxa"/>
            <w:tcMar>
              <w:top w:w="0" w:type="dxa"/>
              <w:bottom w:w="0" w:type="dxa"/>
            </w:tcMar>
            <w:vAlign w:val="center"/>
          </w:tcPr>
          <w:p w14:paraId="1DEFE96F" w14:textId="77777777" w:rsidR="00B930BA" w:rsidRDefault="00000000">
            <w:pPr>
              <w:keepNext/>
              <w:keepLines/>
              <w:spacing w:after="0" w:line="240" w:lineRule="auto"/>
              <w:jc w:val="right"/>
            </w:pPr>
            <w:r>
              <w:rPr>
                <w:sz w:val="18"/>
              </w:rPr>
              <w:t>457.319,71</w:t>
            </w:r>
          </w:p>
        </w:tc>
        <w:tc>
          <w:tcPr>
            <w:tcW w:w="1860" w:type="dxa"/>
            <w:tcMar>
              <w:top w:w="0" w:type="dxa"/>
              <w:bottom w:w="0" w:type="dxa"/>
            </w:tcMar>
            <w:vAlign w:val="center"/>
          </w:tcPr>
          <w:p w14:paraId="17DB145A" w14:textId="77777777" w:rsidR="00B930BA" w:rsidRDefault="00000000">
            <w:pPr>
              <w:keepNext/>
              <w:keepLines/>
              <w:spacing w:after="0" w:line="240" w:lineRule="auto"/>
              <w:jc w:val="right"/>
            </w:pPr>
            <w:r>
              <w:rPr>
                <w:sz w:val="18"/>
              </w:rPr>
              <w:t>253.156,37</w:t>
            </w:r>
          </w:p>
        </w:tc>
        <w:tc>
          <w:tcPr>
            <w:tcW w:w="700" w:type="dxa"/>
            <w:tcMar>
              <w:top w:w="0" w:type="dxa"/>
              <w:bottom w:w="0" w:type="dxa"/>
            </w:tcMar>
            <w:vAlign w:val="center"/>
          </w:tcPr>
          <w:p w14:paraId="4AA8900B" w14:textId="77777777" w:rsidR="00B930BA" w:rsidRDefault="00000000">
            <w:pPr>
              <w:keepNext/>
              <w:keepLines/>
              <w:spacing w:after="0" w:line="240" w:lineRule="auto"/>
              <w:jc w:val="right"/>
            </w:pPr>
            <w:r>
              <w:rPr>
                <w:sz w:val="18"/>
              </w:rPr>
              <w:t>55,4</w:t>
            </w:r>
          </w:p>
        </w:tc>
      </w:tr>
    </w:tbl>
    <w:p w14:paraId="19021EC0" w14:textId="77777777" w:rsidR="00B930BA" w:rsidRDefault="00B930BA">
      <w:pPr>
        <w:spacing w:after="0"/>
      </w:pPr>
    </w:p>
    <w:p w14:paraId="01626BE5" w14:textId="77777777" w:rsidR="00B930BA" w:rsidRDefault="00000000">
      <w:r>
        <w:t>Šifra 26 - obveze za kredite i zajmove - 31.12.2025. godine iskazana je vrijednost obveza u iznosu od 253.156,37 eura. Iznos se odnosi na kreditno zaduženje kod HBOR-a za provođenje projekta: „Rekonstrukcija i adaptacija Dječjeg vrtića Lepoglava“. Razdoblje otplate kredita je 6 godina uključujući jednu godinu počeka pri čemu prva rata dospijeva na plaćanje 31.01.2023. godine, a posljednja 31.12.2026. godine.</w:t>
      </w:r>
    </w:p>
    <w:p w14:paraId="37D1CFE3" w14:textId="77777777" w:rsidR="00B930BA" w:rsidRDefault="00B930BA"/>
    <w:p w14:paraId="07210AF1" w14:textId="77777777" w:rsidR="00B930BA"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C3017F8" w14:textId="77777777">
        <w:trPr>
          <w:cantSplit/>
        </w:trPr>
        <w:tc>
          <w:tcPr>
            <w:tcW w:w="700" w:type="dxa"/>
            <w:shd w:val="clear" w:color="auto" w:fill="E7F0F9"/>
            <w:tcMar>
              <w:top w:w="0" w:type="dxa"/>
              <w:bottom w:w="0" w:type="dxa"/>
            </w:tcMar>
            <w:vAlign w:val="center"/>
          </w:tcPr>
          <w:p w14:paraId="19AD6578"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C1A5CA0"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602A2A"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3E3E0A"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DEC2A0"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DD486B" w14:textId="77777777" w:rsidR="00B930BA" w:rsidRDefault="00000000">
            <w:pPr>
              <w:keepNext/>
              <w:keepLines/>
              <w:spacing w:after="0" w:line="240" w:lineRule="auto"/>
              <w:jc w:val="center"/>
            </w:pPr>
            <w:r>
              <w:rPr>
                <w:b/>
                <w:sz w:val="18"/>
              </w:rPr>
              <w:t>Indeks (%)</w:t>
            </w:r>
          </w:p>
        </w:tc>
      </w:tr>
      <w:tr w:rsidR="00B930BA" w14:paraId="3C6C0AA2" w14:textId="77777777">
        <w:trPr>
          <w:cantSplit/>
          <w:trHeight w:val="560"/>
        </w:trPr>
        <w:tc>
          <w:tcPr>
            <w:tcW w:w="700" w:type="dxa"/>
            <w:tcMar>
              <w:top w:w="0" w:type="dxa"/>
              <w:bottom w:w="0" w:type="dxa"/>
            </w:tcMar>
            <w:vAlign w:val="center"/>
          </w:tcPr>
          <w:p w14:paraId="0C1482E7" w14:textId="77777777" w:rsidR="00B930BA" w:rsidRDefault="00000000">
            <w:pPr>
              <w:keepNext/>
              <w:keepLines/>
              <w:spacing w:after="0" w:line="240" w:lineRule="auto"/>
            </w:pPr>
            <w:r>
              <w:rPr>
                <w:sz w:val="18"/>
              </w:rPr>
              <w:t>9</w:t>
            </w:r>
          </w:p>
        </w:tc>
        <w:tc>
          <w:tcPr>
            <w:tcW w:w="3180" w:type="dxa"/>
            <w:tcMar>
              <w:top w:w="0" w:type="dxa"/>
              <w:bottom w:w="0" w:type="dxa"/>
            </w:tcMar>
            <w:vAlign w:val="center"/>
          </w:tcPr>
          <w:p w14:paraId="09EE8A80" w14:textId="77777777" w:rsidR="00B930BA" w:rsidRDefault="00000000">
            <w:pPr>
              <w:keepNext/>
              <w:keepLines/>
              <w:spacing w:after="0" w:line="240" w:lineRule="auto"/>
            </w:pPr>
            <w:r>
              <w:rPr>
                <w:sz w:val="18"/>
              </w:rPr>
              <w:t>Vlastiti izvori (šifre 91 + 922 - 93 + 96 + 97)</w:t>
            </w:r>
          </w:p>
        </w:tc>
        <w:tc>
          <w:tcPr>
            <w:tcW w:w="700" w:type="dxa"/>
            <w:tcMar>
              <w:top w:w="0" w:type="dxa"/>
              <w:bottom w:w="0" w:type="dxa"/>
            </w:tcMar>
            <w:vAlign w:val="center"/>
          </w:tcPr>
          <w:p w14:paraId="1F43F4EB" w14:textId="77777777" w:rsidR="00B930BA" w:rsidRDefault="00000000">
            <w:pPr>
              <w:keepNext/>
              <w:keepLines/>
              <w:spacing w:after="0" w:line="240" w:lineRule="auto"/>
            </w:pPr>
            <w:r>
              <w:rPr>
                <w:sz w:val="18"/>
              </w:rPr>
              <w:t>9</w:t>
            </w:r>
          </w:p>
        </w:tc>
        <w:tc>
          <w:tcPr>
            <w:tcW w:w="1860" w:type="dxa"/>
            <w:tcMar>
              <w:top w:w="0" w:type="dxa"/>
              <w:bottom w:w="0" w:type="dxa"/>
            </w:tcMar>
            <w:vAlign w:val="center"/>
          </w:tcPr>
          <w:p w14:paraId="0D17997D" w14:textId="77777777" w:rsidR="00B930BA" w:rsidRDefault="00000000">
            <w:pPr>
              <w:keepNext/>
              <w:keepLines/>
              <w:spacing w:after="0" w:line="240" w:lineRule="auto"/>
              <w:jc w:val="right"/>
            </w:pPr>
            <w:r>
              <w:rPr>
                <w:sz w:val="18"/>
              </w:rPr>
              <w:t>14.977.988,38</w:t>
            </w:r>
          </w:p>
        </w:tc>
        <w:tc>
          <w:tcPr>
            <w:tcW w:w="1860" w:type="dxa"/>
            <w:tcMar>
              <w:top w:w="0" w:type="dxa"/>
              <w:bottom w:w="0" w:type="dxa"/>
            </w:tcMar>
            <w:vAlign w:val="center"/>
          </w:tcPr>
          <w:p w14:paraId="5D681A23" w14:textId="77777777" w:rsidR="00B930BA" w:rsidRDefault="00000000">
            <w:pPr>
              <w:keepNext/>
              <w:keepLines/>
              <w:spacing w:after="0" w:line="240" w:lineRule="auto"/>
              <w:jc w:val="right"/>
            </w:pPr>
            <w:r>
              <w:rPr>
                <w:sz w:val="18"/>
              </w:rPr>
              <w:t>15.339.703,29</w:t>
            </w:r>
          </w:p>
        </w:tc>
        <w:tc>
          <w:tcPr>
            <w:tcW w:w="700" w:type="dxa"/>
            <w:tcMar>
              <w:top w:w="0" w:type="dxa"/>
              <w:bottom w:w="0" w:type="dxa"/>
            </w:tcMar>
            <w:vAlign w:val="center"/>
          </w:tcPr>
          <w:p w14:paraId="7DBFA6B9" w14:textId="77777777" w:rsidR="00B930BA" w:rsidRDefault="00000000">
            <w:pPr>
              <w:keepNext/>
              <w:keepLines/>
              <w:spacing w:after="0" w:line="240" w:lineRule="auto"/>
              <w:jc w:val="right"/>
            </w:pPr>
            <w:r>
              <w:rPr>
                <w:sz w:val="18"/>
              </w:rPr>
              <w:t>102,4</w:t>
            </w:r>
          </w:p>
        </w:tc>
      </w:tr>
    </w:tbl>
    <w:p w14:paraId="17E0B368" w14:textId="77777777" w:rsidR="00B930BA" w:rsidRDefault="00B930BA">
      <w:pPr>
        <w:spacing w:after="0"/>
      </w:pPr>
    </w:p>
    <w:p w14:paraId="224F6C5B" w14:textId="77777777" w:rsidR="00B930BA" w:rsidRDefault="00000000">
      <w:r>
        <w:t>Šifra 9 - ukupni vlastiti izvori iz proračuna na dan 31.12.2025. godine iznose 15.339.703,29 eura.</w:t>
      </w:r>
    </w:p>
    <w:p w14:paraId="5BFCB526" w14:textId="77777777" w:rsidR="00B930BA" w:rsidRDefault="00B930BA"/>
    <w:p w14:paraId="08BE67B2" w14:textId="77777777" w:rsidR="00B930BA"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63CE3B2E" w14:textId="77777777">
        <w:trPr>
          <w:cantSplit/>
        </w:trPr>
        <w:tc>
          <w:tcPr>
            <w:tcW w:w="700" w:type="dxa"/>
            <w:shd w:val="clear" w:color="auto" w:fill="E7F0F9"/>
            <w:tcMar>
              <w:top w:w="0" w:type="dxa"/>
              <w:bottom w:w="0" w:type="dxa"/>
            </w:tcMar>
            <w:vAlign w:val="center"/>
          </w:tcPr>
          <w:p w14:paraId="0B9CD8EE"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3ADDF5"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61BC06"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76F89E"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B2C6EFC"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AA8C1F" w14:textId="77777777" w:rsidR="00B930BA" w:rsidRDefault="00000000">
            <w:pPr>
              <w:keepNext/>
              <w:keepLines/>
              <w:spacing w:after="0" w:line="240" w:lineRule="auto"/>
              <w:jc w:val="center"/>
            </w:pPr>
            <w:r>
              <w:rPr>
                <w:b/>
                <w:sz w:val="18"/>
              </w:rPr>
              <w:t>Indeks (%)</w:t>
            </w:r>
          </w:p>
        </w:tc>
      </w:tr>
      <w:tr w:rsidR="00B930BA" w14:paraId="66C8D64F" w14:textId="77777777">
        <w:trPr>
          <w:cantSplit/>
          <w:trHeight w:val="560"/>
        </w:trPr>
        <w:tc>
          <w:tcPr>
            <w:tcW w:w="700" w:type="dxa"/>
            <w:tcMar>
              <w:top w:w="0" w:type="dxa"/>
              <w:bottom w:w="0" w:type="dxa"/>
            </w:tcMar>
            <w:vAlign w:val="center"/>
          </w:tcPr>
          <w:p w14:paraId="79C13D36" w14:textId="77777777" w:rsidR="00B930BA" w:rsidRDefault="00000000">
            <w:pPr>
              <w:keepNext/>
              <w:keepLines/>
              <w:spacing w:after="0" w:line="240" w:lineRule="auto"/>
            </w:pPr>
            <w:r>
              <w:rPr>
                <w:sz w:val="18"/>
              </w:rPr>
              <w:t>92211</w:t>
            </w:r>
          </w:p>
        </w:tc>
        <w:tc>
          <w:tcPr>
            <w:tcW w:w="3180" w:type="dxa"/>
            <w:tcMar>
              <w:top w:w="0" w:type="dxa"/>
              <w:bottom w:w="0" w:type="dxa"/>
            </w:tcMar>
            <w:vAlign w:val="center"/>
          </w:tcPr>
          <w:p w14:paraId="055627DF" w14:textId="77777777" w:rsidR="00B930BA" w:rsidRDefault="00000000">
            <w:pPr>
              <w:keepNext/>
              <w:keepLines/>
              <w:spacing w:after="0" w:line="240" w:lineRule="auto"/>
            </w:pPr>
            <w:r>
              <w:rPr>
                <w:sz w:val="18"/>
              </w:rPr>
              <w:t>Višak prihoda poslovanja</w:t>
            </w:r>
          </w:p>
        </w:tc>
        <w:tc>
          <w:tcPr>
            <w:tcW w:w="700" w:type="dxa"/>
            <w:tcMar>
              <w:top w:w="0" w:type="dxa"/>
              <w:bottom w:w="0" w:type="dxa"/>
            </w:tcMar>
            <w:vAlign w:val="center"/>
          </w:tcPr>
          <w:p w14:paraId="5544552D" w14:textId="77777777" w:rsidR="00B930BA" w:rsidRDefault="00000000">
            <w:pPr>
              <w:keepNext/>
              <w:keepLines/>
              <w:spacing w:after="0" w:line="240" w:lineRule="auto"/>
            </w:pPr>
            <w:r>
              <w:rPr>
                <w:sz w:val="18"/>
              </w:rPr>
              <w:t>92211</w:t>
            </w:r>
          </w:p>
        </w:tc>
        <w:tc>
          <w:tcPr>
            <w:tcW w:w="1860" w:type="dxa"/>
            <w:tcMar>
              <w:top w:w="0" w:type="dxa"/>
              <w:bottom w:w="0" w:type="dxa"/>
            </w:tcMar>
            <w:vAlign w:val="center"/>
          </w:tcPr>
          <w:p w14:paraId="39847DE8" w14:textId="77777777" w:rsidR="00B930BA" w:rsidRDefault="00000000">
            <w:pPr>
              <w:keepNext/>
              <w:keepLines/>
              <w:spacing w:after="0" w:line="240" w:lineRule="auto"/>
              <w:jc w:val="right"/>
            </w:pPr>
            <w:r>
              <w:rPr>
                <w:sz w:val="18"/>
              </w:rPr>
              <w:t>5.209.232,02</w:t>
            </w:r>
          </w:p>
        </w:tc>
        <w:tc>
          <w:tcPr>
            <w:tcW w:w="1860" w:type="dxa"/>
            <w:tcMar>
              <w:top w:w="0" w:type="dxa"/>
              <w:bottom w:w="0" w:type="dxa"/>
            </w:tcMar>
            <w:vAlign w:val="center"/>
          </w:tcPr>
          <w:p w14:paraId="2ADF0FF7" w14:textId="77777777" w:rsidR="00B930BA" w:rsidRDefault="00000000">
            <w:pPr>
              <w:keepNext/>
              <w:keepLines/>
              <w:spacing w:after="0" w:line="240" w:lineRule="auto"/>
              <w:jc w:val="right"/>
            </w:pPr>
            <w:r>
              <w:rPr>
                <w:sz w:val="18"/>
              </w:rPr>
              <w:t>6.764.715,82</w:t>
            </w:r>
          </w:p>
        </w:tc>
        <w:tc>
          <w:tcPr>
            <w:tcW w:w="700" w:type="dxa"/>
            <w:tcMar>
              <w:top w:w="0" w:type="dxa"/>
              <w:bottom w:w="0" w:type="dxa"/>
            </w:tcMar>
            <w:vAlign w:val="center"/>
          </w:tcPr>
          <w:p w14:paraId="4A7432AC" w14:textId="77777777" w:rsidR="00B930BA" w:rsidRDefault="00000000">
            <w:pPr>
              <w:keepNext/>
              <w:keepLines/>
              <w:spacing w:after="0" w:line="240" w:lineRule="auto"/>
              <w:jc w:val="right"/>
            </w:pPr>
            <w:r>
              <w:rPr>
                <w:sz w:val="18"/>
              </w:rPr>
              <w:t>129,9</w:t>
            </w:r>
          </w:p>
        </w:tc>
      </w:tr>
    </w:tbl>
    <w:p w14:paraId="41D28F22" w14:textId="77777777" w:rsidR="00B930BA" w:rsidRDefault="00B930BA">
      <w:pPr>
        <w:spacing w:after="0"/>
      </w:pPr>
    </w:p>
    <w:p w14:paraId="45C9DD8C" w14:textId="77777777" w:rsidR="00B930BA" w:rsidRDefault="00000000">
      <w:r>
        <w:t>Šifra 92211 - s 31.12.2025. godine utvrđen je višak prihoda poslovanja u iznosu 6.764.715,82 eura</w:t>
      </w:r>
    </w:p>
    <w:p w14:paraId="6C4527A9" w14:textId="77777777" w:rsidR="00B930BA" w:rsidRDefault="00B930BA"/>
    <w:p w14:paraId="340F7C80" w14:textId="77777777" w:rsidR="00B930BA"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A249D69" w14:textId="77777777">
        <w:trPr>
          <w:cantSplit/>
        </w:trPr>
        <w:tc>
          <w:tcPr>
            <w:tcW w:w="700" w:type="dxa"/>
            <w:shd w:val="clear" w:color="auto" w:fill="E7F0F9"/>
            <w:tcMar>
              <w:top w:w="0" w:type="dxa"/>
              <w:bottom w:w="0" w:type="dxa"/>
            </w:tcMar>
            <w:vAlign w:val="center"/>
          </w:tcPr>
          <w:p w14:paraId="512808F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7EC32F0"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AE0CE"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3EFA7B"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1C0AA3"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D0F3C4" w14:textId="77777777" w:rsidR="00B930BA" w:rsidRDefault="00000000">
            <w:pPr>
              <w:keepNext/>
              <w:keepLines/>
              <w:spacing w:after="0" w:line="240" w:lineRule="auto"/>
              <w:jc w:val="center"/>
            </w:pPr>
            <w:r>
              <w:rPr>
                <w:b/>
                <w:sz w:val="18"/>
              </w:rPr>
              <w:t>Indeks (%)</w:t>
            </w:r>
          </w:p>
        </w:tc>
      </w:tr>
      <w:tr w:rsidR="00B930BA" w14:paraId="6BBF630D" w14:textId="77777777">
        <w:trPr>
          <w:cantSplit/>
          <w:trHeight w:val="560"/>
        </w:trPr>
        <w:tc>
          <w:tcPr>
            <w:tcW w:w="700" w:type="dxa"/>
            <w:tcMar>
              <w:top w:w="0" w:type="dxa"/>
              <w:bottom w:w="0" w:type="dxa"/>
            </w:tcMar>
            <w:vAlign w:val="center"/>
          </w:tcPr>
          <w:p w14:paraId="69B7C4F8" w14:textId="77777777" w:rsidR="00B930BA" w:rsidRDefault="00000000">
            <w:pPr>
              <w:keepNext/>
              <w:keepLines/>
              <w:spacing w:after="0" w:line="240" w:lineRule="auto"/>
            </w:pPr>
            <w:r>
              <w:rPr>
                <w:sz w:val="18"/>
              </w:rPr>
              <w:t>92222</w:t>
            </w:r>
          </w:p>
        </w:tc>
        <w:tc>
          <w:tcPr>
            <w:tcW w:w="3180" w:type="dxa"/>
            <w:tcMar>
              <w:top w:w="0" w:type="dxa"/>
              <w:bottom w:w="0" w:type="dxa"/>
            </w:tcMar>
            <w:vAlign w:val="center"/>
          </w:tcPr>
          <w:p w14:paraId="4A0C59CD" w14:textId="77777777" w:rsidR="00B930BA" w:rsidRDefault="00000000">
            <w:pPr>
              <w:keepNext/>
              <w:keepLines/>
              <w:spacing w:after="0" w:line="240" w:lineRule="auto"/>
            </w:pPr>
            <w:r>
              <w:rPr>
                <w:sz w:val="18"/>
              </w:rPr>
              <w:t>Manjak prihoda od nefinancijske imovine</w:t>
            </w:r>
          </w:p>
        </w:tc>
        <w:tc>
          <w:tcPr>
            <w:tcW w:w="700" w:type="dxa"/>
            <w:tcMar>
              <w:top w:w="0" w:type="dxa"/>
              <w:bottom w:w="0" w:type="dxa"/>
            </w:tcMar>
            <w:vAlign w:val="center"/>
          </w:tcPr>
          <w:p w14:paraId="56DDE30A" w14:textId="77777777" w:rsidR="00B930BA" w:rsidRDefault="00000000">
            <w:pPr>
              <w:keepNext/>
              <w:keepLines/>
              <w:spacing w:after="0" w:line="240" w:lineRule="auto"/>
            </w:pPr>
            <w:r>
              <w:rPr>
                <w:sz w:val="18"/>
              </w:rPr>
              <w:t>92222</w:t>
            </w:r>
          </w:p>
        </w:tc>
        <w:tc>
          <w:tcPr>
            <w:tcW w:w="1860" w:type="dxa"/>
            <w:tcMar>
              <w:top w:w="0" w:type="dxa"/>
              <w:bottom w:w="0" w:type="dxa"/>
            </w:tcMar>
            <w:vAlign w:val="center"/>
          </w:tcPr>
          <w:p w14:paraId="195BE11C" w14:textId="77777777" w:rsidR="00B930BA" w:rsidRDefault="00000000">
            <w:pPr>
              <w:keepNext/>
              <w:keepLines/>
              <w:spacing w:after="0" w:line="240" w:lineRule="auto"/>
              <w:jc w:val="right"/>
            </w:pPr>
            <w:r>
              <w:rPr>
                <w:sz w:val="18"/>
              </w:rPr>
              <w:t>4.179.196,31</w:t>
            </w:r>
          </w:p>
        </w:tc>
        <w:tc>
          <w:tcPr>
            <w:tcW w:w="1860" w:type="dxa"/>
            <w:tcMar>
              <w:top w:w="0" w:type="dxa"/>
              <w:bottom w:w="0" w:type="dxa"/>
            </w:tcMar>
            <w:vAlign w:val="center"/>
          </w:tcPr>
          <w:p w14:paraId="74D7A6EA" w14:textId="77777777" w:rsidR="00B930BA" w:rsidRDefault="00000000">
            <w:pPr>
              <w:keepNext/>
              <w:keepLines/>
              <w:spacing w:after="0" w:line="240" w:lineRule="auto"/>
              <w:jc w:val="right"/>
            </w:pPr>
            <w:r>
              <w:rPr>
                <w:sz w:val="18"/>
              </w:rPr>
              <w:t>5.776.904,39</w:t>
            </w:r>
          </w:p>
        </w:tc>
        <w:tc>
          <w:tcPr>
            <w:tcW w:w="700" w:type="dxa"/>
            <w:tcMar>
              <w:top w:w="0" w:type="dxa"/>
              <w:bottom w:w="0" w:type="dxa"/>
            </w:tcMar>
            <w:vAlign w:val="center"/>
          </w:tcPr>
          <w:p w14:paraId="102B649C" w14:textId="77777777" w:rsidR="00B930BA" w:rsidRDefault="00000000">
            <w:pPr>
              <w:keepNext/>
              <w:keepLines/>
              <w:spacing w:after="0" w:line="240" w:lineRule="auto"/>
              <w:jc w:val="right"/>
            </w:pPr>
            <w:r>
              <w:rPr>
                <w:sz w:val="18"/>
              </w:rPr>
              <w:t>138,2</w:t>
            </w:r>
          </w:p>
        </w:tc>
      </w:tr>
    </w:tbl>
    <w:p w14:paraId="2847D446" w14:textId="77777777" w:rsidR="00B930BA" w:rsidRDefault="00B930BA">
      <w:pPr>
        <w:spacing w:after="0"/>
      </w:pPr>
    </w:p>
    <w:p w14:paraId="66A7404B" w14:textId="77777777" w:rsidR="00B930BA" w:rsidRDefault="00000000">
      <w:r>
        <w:t>Šifra 92222 - s 31.12.2025. utvrđen je manjak prihoda od nefinancijske imovine u iznosu od 5.776.904,39 eura.</w:t>
      </w:r>
    </w:p>
    <w:p w14:paraId="395A664C" w14:textId="77777777" w:rsidR="00B930BA" w:rsidRDefault="00B930BA"/>
    <w:p w14:paraId="5C133E69" w14:textId="77777777" w:rsidR="00B930BA"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0244B25F" w14:textId="77777777">
        <w:trPr>
          <w:cantSplit/>
        </w:trPr>
        <w:tc>
          <w:tcPr>
            <w:tcW w:w="700" w:type="dxa"/>
            <w:shd w:val="clear" w:color="auto" w:fill="E7F0F9"/>
            <w:tcMar>
              <w:top w:w="0" w:type="dxa"/>
              <w:bottom w:w="0" w:type="dxa"/>
            </w:tcMar>
            <w:vAlign w:val="center"/>
          </w:tcPr>
          <w:p w14:paraId="694E22F3"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59FB830"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A0992"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FDCA87"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4F887E"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340F88" w14:textId="77777777" w:rsidR="00B930BA" w:rsidRDefault="00000000">
            <w:pPr>
              <w:keepNext/>
              <w:keepLines/>
              <w:spacing w:after="0" w:line="240" w:lineRule="auto"/>
              <w:jc w:val="center"/>
            </w:pPr>
            <w:r>
              <w:rPr>
                <w:b/>
                <w:sz w:val="18"/>
              </w:rPr>
              <w:t>Indeks (%)</w:t>
            </w:r>
          </w:p>
        </w:tc>
      </w:tr>
      <w:tr w:rsidR="00B930BA" w14:paraId="051856A1" w14:textId="77777777">
        <w:trPr>
          <w:cantSplit/>
          <w:trHeight w:val="560"/>
        </w:trPr>
        <w:tc>
          <w:tcPr>
            <w:tcW w:w="700" w:type="dxa"/>
            <w:tcMar>
              <w:top w:w="0" w:type="dxa"/>
              <w:bottom w:w="0" w:type="dxa"/>
            </w:tcMar>
            <w:vAlign w:val="center"/>
          </w:tcPr>
          <w:p w14:paraId="207B9173" w14:textId="77777777" w:rsidR="00B930BA" w:rsidRDefault="00000000">
            <w:pPr>
              <w:keepNext/>
              <w:keepLines/>
              <w:spacing w:after="0" w:line="240" w:lineRule="auto"/>
            </w:pPr>
            <w:r>
              <w:rPr>
                <w:sz w:val="18"/>
              </w:rPr>
              <w:t>96</w:t>
            </w:r>
          </w:p>
        </w:tc>
        <w:tc>
          <w:tcPr>
            <w:tcW w:w="3180" w:type="dxa"/>
            <w:tcMar>
              <w:top w:w="0" w:type="dxa"/>
              <w:bottom w:w="0" w:type="dxa"/>
            </w:tcMar>
            <w:vAlign w:val="center"/>
          </w:tcPr>
          <w:p w14:paraId="3F879F54" w14:textId="77777777" w:rsidR="00B930BA"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50F82CFC" w14:textId="77777777" w:rsidR="00B930BA" w:rsidRDefault="00000000">
            <w:pPr>
              <w:keepNext/>
              <w:keepLines/>
              <w:spacing w:after="0" w:line="240" w:lineRule="auto"/>
            </w:pPr>
            <w:r>
              <w:rPr>
                <w:sz w:val="18"/>
              </w:rPr>
              <w:t>96</w:t>
            </w:r>
          </w:p>
        </w:tc>
        <w:tc>
          <w:tcPr>
            <w:tcW w:w="1860" w:type="dxa"/>
            <w:tcMar>
              <w:top w:w="0" w:type="dxa"/>
              <w:bottom w:w="0" w:type="dxa"/>
            </w:tcMar>
            <w:vAlign w:val="center"/>
          </w:tcPr>
          <w:p w14:paraId="5BE2A6B9" w14:textId="77777777" w:rsidR="00B930BA" w:rsidRDefault="00000000">
            <w:pPr>
              <w:keepNext/>
              <w:keepLines/>
              <w:spacing w:after="0" w:line="240" w:lineRule="auto"/>
              <w:jc w:val="right"/>
            </w:pPr>
            <w:r>
              <w:rPr>
                <w:sz w:val="18"/>
              </w:rPr>
              <w:t>40.346,10</w:t>
            </w:r>
          </w:p>
        </w:tc>
        <w:tc>
          <w:tcPr>
            <w:tcW w:w="1860" w:type="dxa"/>
            <w:tcMar>
              <w:top w:w="0" w:type="dxa"/>
              <w:bottom w:w="0" w:type="dxa"/>
            </w:tcMar>
            <w:vAlign w:val="center"/>
          </w:tcPr>
          <w:p w14:paraId="2122E59E" w14:textId="77777777" w:rsidR="00B930BA" w:rsidRDefault="00000000">
            <w:pPr>
              <w:keepNext/>
              <w:keepLines/>
              <w:spacing w:after="0" w:line="240" w:lineRule="auto"/>
              <w:jc w:val="right"/>
            </w:pPr>
            <w:r>
              <w:rPr>
                <w:sz w:val="18"/>
              </w:rPr>
              <w:t>50.222,50</w:t>
            </w:r>
          </w:p>
        </w:tc>
        <w:tc>
          <w:tcPr>
            <w:tcW w:w="700" w:type="dxa"/>
            <w:tcMar>
              <w:top w:w="0" w:type="dxa"/>
              <w:bottom w:w="0" w:type="dxa"/>
            </w:tcMar>
            <w:vAlign w:val="center"/>
          </w:tcPr>
          <w:p w14:paraId="52CFB324" w14:textId="77777777" w:rsidR="00B930BA" w:rsidRDefault="00000000">
            <w:pPr>
              <w:keepNext/>
              <w:keepLines/>
              <w:spacing w:after="0" w:line="240" w:lineRule="auto"/>
              <w:jc w:val="right"/>
            </w:pPr>
            <w:r>
              <w:rPr>
                <w:sz w:val="18"/>
              </w:rPr>
              <w:t>124,5</w:t>
            </w:r>
          </w:p>
        </w:tc>
      </w:tr>
    </w:tbl>
    <w:p w14:paraId="11C01D35" w14:textId="77777777" w:rsidR="00B930BA" w:rsidRDefault="00B930BA">
      <w:pPr>
        <w:spacing w:after="0"/>
      </w:pPr>
    </w:p>
    <w:p w14:paraId="122D2F02" w14:textId="77777777" w:rsidR="00B930BA" w:rsidRDefault="00000000">
      <w:r>
        <w:t>Šifra 96 - obračunati prihodi poslovanja - stanje na dan 01.01. je 40.346,10 eura, a 31.12. iznosi 50.222,50 eura što čini povećanje za 24,5 %.</w:t>
      </w:r>
    </w:p>
    <w:p w14:paraId="6A710E68" w14:textId="77777777" w:rsidR="00B930BA" w:rsidRDefault="00B930BA"/>
    <w:p w14:paraId="0E428BD8" w14:textId="77777777" w:rsidR="00B930BA" w:rsidRDefault="00000000">
      <w:pPr>
        <w:keepNext/>
        <w:spacing w:line="240" w:lineRule="auto"/>
        <w:jc w:val="center"/>
      </w:pPr>
      <w:r>
        <w:rPr>
          <w:sz w:val="28"/>
        </w:rPr>
        <w:t>Bilješka 68.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29364511" w14:textId="77777777">
        <w:trPr>
          <w:cantSplit/>
        </w:trPr>
        <w:tc>
          <w:tcPr>
            <w:tcW w:w="700" w:type="dxa"/>
            <w:shd w:val="clear" w:color="auto" w:fill="E7F0F9"/>
            <w:tcMar>
              <w:top w:w="0" w:type="dxa"/>
              <w:bottom w:w="0" w:type="dxa"/>
            </w:tcMar>
            <w:vAlign w:val="center"/>
          </w:tcPr>
          <w:p w14:paraId="29FB8BB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22B2EA4"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A91089"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EC3223"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54C1E71"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4389198" w14:textId="77777777" w:rsidR="00B930BA" w:rsidRDefault="00000000">
            <w:pPr>
              <w:keepNext/>
              <w:keepLines/>
              <w:spacing w:after="0" w:line="240" w:lineRule="auto"/>
              <w:jc w:val="center"/>
            </w:pPr>
            <w:r>
              <w:rPr>
                <w:b/>
                <w:sz w:val="18"/>
              </w:rPr>
              <w:t>Indeks (%)</w:t>
            </w:r>
          </w:p>
        </w:tc>
      </w:tr>
      <w:tr w:rsidR="00B930BA" w14:paraId="3CA226DD" w14:textId="77777777">
        <w:trPr>
          <w:cantSplit/>
          <w:trHeight w:val="560"/>
        </w:trPr>
        <w:tc>
          <w:tcPr>
            <w:tcW w:w="700" w:type="dxa"/>
            <w:tcMar>
              <w:top w:w="0" w:type="dxa"/>
              <w:bottom w:w="0" w:type="dxa"/>
            </w:tcMar>
            <w:vAlign w:val="center"/>
          </w:tcPr>
          <w:p w14:paraId="220476A4" w14:textId="77777777" w:rsidR="00B930BA" w:rsidRDefault="00000000">
            <w:pPr>
              <w:keepNext/>
              <w:keepLines/>
              <w:spacing w:after="0" w:line="240" w:lineRule="auto"/>
            </w:pPr>
            <w:r>
              <w:rPr>
                <w:sz w:val="18"/>
              </w:rPr>
              <w:t>97</w:t>
            </w:r>
          </w:p>
        </w:tc>
        <w:tc>
          <w:tcPr>
            <w:tcW w:w="3180" w:type="dxa"/>
            <w:tcMar>
              <w:top w:w="0" w:type="dxa"/>
              <w:bottom w:w="0" w:type="dxa"/>
            </w:tcMar>
            <w:vAlign w:val="center"/>
          </w:tcPr>
          <w:p w14:paraId="204846C6" w14:textId="77777777" w:rsidR="00B930BA" w:rsidRDefault="00000000">
            <w:pPr>
              <w:keepNext/>
              <w:keepLines/>
              <w:spacing w:after="0" w:line="240" w:lineRule="auto"/>
            </w:pPr>
            <w:r>
              <w:rPr>
                <w:sz w:val="18"/>
              </w:rPr>
              <w:t>Obračunati prihodi od prodaje nefinancijske imovine (šifre 971 do 974)</w:t>
            </w:r>
          </w:p>
        </w:tc>
        <w:tc>
          <w:tcPr>
            <w:tcW w:w="700" w:type="dxa"/>
            <w:tcMar>
              <w:top w:w="0" w:type="dxa"/>
              <w:bottom w:w="0" w:type="dxa"/>
            </w:tcMar>
            <w:vAlign w:val="center"/>
          </w:tcPr>
          <w:p w14:paraId="0FCFE190" w14:textId="77777777" w:rsidR="00B930BA" w:rsidRDefault="00000000">
            <w:pPr>
              <w:keepNext/>
              <w:keepLines/>
              <w:spacing w:after="0" w:line="240" w:lineRule="auto"/>
            </w:pPr>
            <w:r>
              <w:rPr>
                <w:sz w:val="18"/>
              </w:rPr>
              <w:t>97</w:t>
            </w:r>
          </w:p>
        </w:tc>
        <w:tc>
          <w:tcPr>
            <w:tcW w:w="1860" w:type="dxa"/>
            <w:tcMar>
              <w:top w:w="0" w:type="dxa"/>
              <w:bottom w:w="0" w:type="dxa"/>
            </w:tcMar>
            <w:vAlign w:val="center"/>
          </w:tcPr>
          <w:p w14:paraId="350D1DAA" w14:textId="77777777" w:rsidR="00B930BA" w:rsidRDefault="00000000">
            <w:pPr>
              <w:keepNext/>
              <w:keepLines/>
              <w:spacing w:after="0" w:line="240" w:lineRule="auto"/>
              <w:jc w:val="right"/>
            </w:pPr>
            <w:r>
              <w:rPr>
                <w:sz w:val="18"/>
              </w:rPr>
              <w:t>156.649,67</w:t>
            </w:r>
          </w:p>
        </w:tc>
        <w:tc>
          <w:tcPr>
            <w:tcW w:w="1860" w:type="dxa"/>
            <w:tcMar>
              <w:top w:w="0" w:type="dxa"/>
              <w:bottom w:w="0" w:type="dxa"/>
            </w:tcMar>
            <w:vAlign w:val="center"/>
          </w:tcPr>
          <w:p w14:paraId="5337E01E" w14:textId="77777777" w:rsidR="00B930BA" w:rsidRDefault="00000000">
            <w:pPr>
              <w:keepNext/>
              <w:keepLines/>
              <w:spacing w:after="0" w:line="240" w:lineRule="auto"/>
              <w:jc w:val="right"/>
            </w:pPr>
            <w:r>
              <w:rPr>
                <w:sz w:val="18"/>
              </w:rPr>
              <w:t>10.047,10</w:t>
            </w:r>
          </w:p>
        </w:tc>
        <w:tc>
          <w:tcPr>
            <w:tcW w:w="700" w:type="dxa"/>
            <w:tcMar>
              <w:top w:w="0" w:type="dxa"/>
              <w:bottom w:w="0" w:type="dxa"/>
            </w:tcMar>
            <w:vAlign w:val="center"/>
          </w:tcPr>
          <w:p w14:paraId="219DC52E" w14:textId="77777777" w:rsidR="00B930BA" w:rsidRDefault="00000000">
            <w:pPr>
              <w:keepNext/>
              <w:keepLines/>
              <w:spacing w:after="0" w:line="240" w:lineRule="auto"/>
              <w:jc w:val="right"/>
            </w:pPr>
            <w:r>
              <w:rPr>
                <w:sz w:val="18"/>
              </w:rPr>
              <w:t>6,4</w:t>
            </w:r>
          </w:p>
        </w:tc>
      </w:tr>
    </w:tbl>
    <w:p w14:paraId="33B9CC1F" w14:textId="77777777" w:rsidR="00B930BA" w:rsidRDefault="00B930BA">
      <w:pPr>
        <w:spacing w:after="0"/>
      </w:pPr>
    </w:p>
    <w:p w14:paraId="79D880F3" w14:textId="77777777" w:rsidR="00B930BA" w:rsidRDefault="00000000">
      <w:r>
        <w:t>Šifra 97 - obračunati prihodi od prodaje nefinancijske imovine - stanje na dan 01.01. je 156.649,67 eura, a 31.12. iznosi 10.047,10 eura što čini smanjenje za 93,6 %.</w:t>
      </w:r>
    </w:p>
    <w:p w14:paraId="01D7D342" w14:textId="77777777" w:rsidR="00B930BA" w:rsidRDefault="00B930BA"/>
    <w:p w14:paraId="4FD02A85" w14:textId="77777777" w:rsidR="00B930BA" w:rsidRDefault="00000000">
      <w:pPr>
        <w:keepNext/>
        <w:spacing w:line="240" w:lineRule="auto"/>
        <w:jc w:val="center"/>
      </w:pPr>
      <w:r>
        <w:rPr>
          <w:sz w:val="28"/>
        </w:rPr>
        <w:t>Bilješka 69.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58E55664" w14:textId="77777777">
        <w:trPr>
          <w:cantSplit/>
        </w:trPr>
        <w:tc>
          <w:tcPr>
            <w:tcW w:w="700" w:type="dxa"/>
            <w:shd w:val="clear" w:color="auto" w:fill="E7F0F9"/>
            <w:tcMar>
              <w:top w:w="0" w:type="dxa"/>
              <w:bottom w:w="0" w:type="dxa"/>
            </w:tcMar>
            <w:vAlign w:val="center"/>
          </w:tcPr>
          <w:p w14:paraId="7FFC1C36"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D34A0B"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C3661"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4EEB6C" w14:textId="77777777" w:rsidR="00B930BA"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CAA7350" w14:textId="77777777" w:rsidR="00B930BA"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2169F2D" w14:textId="77777777" w:rsidR="00B930BA" w:rsidRDefault="00000000">
            <w:pPr>
              <w:keepNext/>
              <w:keepLines/>
              <w:spacing w:after="0" w:line="240" w:lineRule="auto"/>
              <w:jc w:val="center"/>
            </w:pPr>
            <w:r>
              <w:rPr>
                <w:b/>
                <w:sz w:val="18"/>
              </w:rPr>
              <w:t>Indeks (%)</w:t>
            </w:r>
          </w:p>
        </w:tc>
      </w:tr>
      <w:tr w:rsidR="00B930BA" w14:paraId="769A14A1" w14:textId="77777777">
        <w:trPr>
          <w:cantSplit/>
          <w:trHeight w:val="560"/>
        </w:trPr>
        <w:tc>
          <w:tcPr>
            <w:tcW w:w="700" w:type="dxa"/>
            <w:tcMar>
              <w:top w:w="0" w:type="dxa"/>
              <w:bottom w:w="0" w:type="dxa"/>
            </w:tcMar>
            <w:vAlign w:val="center"/>
          </w:tcPr>
          <w:p w14:paraId="71301A62" w14:textId="77777777" w:rsidR="00B930BA" w:rsidRDefault="00000000">
            <w:pPr>
              <w:keepNext/>
              <w:keepLines/>
              <w:spacing w:after="0" w:line="240" w:lineRule="auto"/>
            </w:pPr>
            <w:r>
              <w:rPr>
                <w:sz w:val="18"/>
              </w:rPr>
              <w:t>991</w:t>
            </w:r>
          </w:p>
        </w:tc>
        <w:tc>
          <w:tcPr>
            <w:tcW w:w="3180" w:type="dxa"/>
            <w:tcMar>
              <w:top w:w="0" w:type="dxa"/>
              <w:bottom w:w="0" w:type="dxa"/>
            </w:tcMar>
            <w:vAlign w:val="center"/>
          </w:tcPr>
          <w:p w14:paraId="5D711C8F" w14:textId="77777777" w:rsidR="00B930BA" w:rsidRDefault="00000000">
            <w:pPr>
              <w:keepNext/>
              <w:keepLines/>
              <w:spacing w:after="0" w:line="240" w:lineRule="auto"/>
            </w:pPr>
            <w:proofErr w:type="spellStart"/>
            <w:r>
              <w:rPr>
                <w:sz w:val="18"/>
              </w:rPr>
              <w:t>Izvanbilančni</w:t>
            </w:r>
            <w:proofErr w:type="spellEnd"/>
            <w:r>
              <w:rPr>
                <w:sz w:val="18"/>
              </w:rPr>
              <w:t xml:space="preserve"> zapisi - aktiva (šifra 996)</w:t>
            </w:r>
          </w:p>
        </w:tc>
        <w:tc>
          <w:tcPr>
            <w:tcW w:w="700" w:type="dxa"/>
            <w:tcMar>
              <w:top w:w="0" w:type="dxa"/>
              <w:bottom w:w="0" w:type="dxa"/>
            </w:tcMar>
            <w:vAlign w:val="center"/>
          </w:tcPr>
          <w:p w14:paraId="576176A2" w14:textId="77777777" w:rsidR="00B930BA" w:rsidRDefault="00000000">
            <w:pPr>
              <w:keepNext/>
              <w:keepLines/>
              <w:spacing w:after="0" w:line="240" w:lineRule="auto"/>
            </w:pPr>
            <w:r>
              <w:rPr>
                <w:sz w:val="18"/>
              </w:rPr>
              <w:t>991</w:t>
            </w:r>
          </w:p>
        </w:tc>
        <w:tc>
          <w:tcPr>
            <w:tcW w:w="1860" w:type="dxa"/>
            <w:tcMar>
              <w:top w:w="0" w:type="dxa"/>
              <w:bottom w:w="0" w:type="dxa"/>
            </w:tcMar>
            <w:vAlign w:val="center"/>
          </w:tcPr>
          <w:p w14:paraId="51111924" w14:textId="77777777" w:rsidR="00B930BA" w:rsidRDefault="00000000">
            <w:pPr>
              <w:keepNext/>
              <w:keepLines/>
              <w:spacing w:after="0" w:line="240" w:lineRule="auto"/>
              <w:jc w:val="right"/>
            </w:pPr>
            <w:r>
              <w:rPr>
                <w:sz w:val="18"/>
              </w:rPr>
              <w:t>916.831,15</w:t>
            </w:r>
          </w:p>
        </w:tc>
        <w:tc>
          <w:tcPr>
            <w:tcW w:w="1860" w:type="dxa"/>
            <w:tcMar>
              <w:top w:w="0" w:type="dxa"/>
              <w:bottom w:w="0" w:type="dxa"/>
            </w:tcMar>
            <w:vAlign w:val="center"/>
          </w:tcPr>
          <w:p w14:paraId="17FE5053" w14:textId="77777777" w:rsidR="00B930BA" w:rsidRDefault="00000000">
            <w:pPr>
              <w:keepNext/>
              <w:keepLines/>
              <w:spacing w:after="0" w:line="240" w:lineRule="auto"/>
              <w:jc w:val="right"/>
            </w:pPr>
            <w:r>
              <w:rPr>
                <w:sz w:val="18"/>
              </w:rPr>
              <w:t>3.144.466,89</w:t>
            </w:r>
          </w:p>
        </w:tc>
        <w:tc>
          <w:tcPr>
            <w:tcW w:w="700" w:type="dxa"/>
            <w:tcMar>
              <w:top w:w="0" w:type="dxa"/>
              <w:bottom w:w="0" w:type="dxa"/>
            </w:tcMar>
            <w:vAlign w:val="center"/>
          </w:tcPr>
          <w:p w14:paraId="125C3641" w14:textId="77777777" w:rsidR="00B930BA" w:rsidRDefault="00000000">
            <w:pPr>
              <w:keepNext/>
              <w:keepLines/>
              <w:spacing w:after="0" w:line="240" w:lineRule="auto"/>
              <w:jc w:val="right"/>
            </w:pPr>
            <w:r>
              <w:rPr>
                <w:sz w:val="18"/>
              </w:rPr>
              <w:t>343,0</w:t>
            </w:r>
          </w:p>
        </w:tc>
      </w:tr>
    </w:tbl>
    <w:p w14:paraId="10166D76" w14:textId="77777777" w:rsidR="00B930BA" w:rsidRDefault="00B930BA">
      <w:pPr>
        <w:spacing w:after="0"/>
      </w:pPr>
    </w:p>
    <w:p w14:paraId="4771FCD7" w14:textId="77777777" w:rsidR="00B930BA" w:rsidRDefault="00000000">
      <w:proofErr w:type="spellStart"/>
      <w:r>
        <w:t>Izvanbilančni</w:t>
      </w:r>
      <w:proofErr w:type="spellEnd"/>
      <w:r>
        <w:t xml:space="preserve"> zapisi - na dan 31.12.2025. godine vrijednost na poziciji </w:t>
      </w:r>
      <w:proofErr w:type="spellStart"/>
      <w:r>
        <w:t>izvanbilančnih</w:t>
      </w:r>
      <w:proofErr w:type="spellEnd"/>
      <w:r>
        <w:t xml:space="preserve"> zapisa iznosi 3.144.466,89 eura te se sastoji od:</w:t>
      </w:r>
    </w:p>
    <w:p w14:paraId="7AFDAE0D" w14:textId="77777777" w:rsidR="00B930BA" w:rsidRDefault="00000000">
      <w:r>
        <w:t>- tuđe imovine dobivene na korištenje</w:t>
      </w:r>
    </w:p>
    <w:p w14:paraId="710B22C7" w14:textId="77777777" w:rsidR="00B930BA" w:rsidRDefault="00000000">
      <w:r>
        <w:t>- evidentiranih primljenih i danih instrumenata osiguranja plaćanja u iznosu od 1.145.309,06 eura</w:t>
      </w:r>
    </w:p>
    <w:p w14:paraId="53422873" w14:textId="77777777" w:rsidR="00B930BA" w:rsidRDefault="00000000">
      <w:r>
        <w:t>- evidentiranih potencijalnih obveza po osnovi sudskih sporova u tijeku u iznosu od 28.083,63 eura </w:t>
      </w:r>
    </w:p>
    <w:p w14:paraId="2C169CDE" w14:textId="77777777" w:rsidR="00B930BA" w:rsidRDefault="00000000">
      <w:r>
        <w:t>- potraživanja po ugovorima o dodijeljenim bespovratnim sredstvima iz EU fondova u iznosu od 1.788.546,13 eura. </w:t>
      </w:r>
    </w:p>
    <w:p w14:paraId="7A8CC95C" w14:textId="77777777" w:rsidR="00B930BA" w:rsidRDefault="00000000">
      <w:r>
        <w:t> </w:t>
      </w:r>
    </w:p>
    <w:p w14:paraId="0615D107" w14:textId="77777777" w:rsidR="00B930BA" w:rsidRDefault="00000000">
      <w:r>
        <w:t>Tablica: Potencijalne obveze po osnovi sudskih sporova u tijeku</w:t>
      </w:r>
    </w:p>
    <w:tbl>
      <w:tblPr>
        <w:tblStyle w:val="Reetkatablice"/>
        <w:tblW w:w="5000" w:type="pct"/>
        <w:tblLook w:val="04A0" w:firstRow="1" w:lastRow="0" w:firstColumn="1" w:lastColumn="0" w:noHBand="0" w:noVBand="1"/>
      </w:tblPr>
      <w:tblGrid>
        <w:gridCol w:w="3020"/>
        <w:gridCol w:w="3021"/>
        <w:gridCol w:w="3021"/>
      </w:tblGrid>
      <w:tr w:rsidR="00B930BA" w14:paraId="59AB9B55" w14:textId="77777777">
        <w:tc>
          <w:tcPr>
            <w:tcW w:w="1663" w:type="pct"/>
            <w:vAlign w:val="center"/>
          </w:tcPr>
          <w:p w14:paraId="0E009DBD" w14:textId="77777777" w:rsidR="00B930BA" w:rsidRDefault="00000000">
            <w:pPr>
              <w:keepNext/>
              <w:jc w:val="center"/>
            </w:pPr>
            <w:r>
              <w:t>RADI</w:t>
            </w:r>
          </w:p>
        </w:tc>
        <w:tc>
          <w:tcPr>
            <w:tcW w:w="1663" w:type="pct"/>
            <w:vAlign w:val="center"/>
          </w:tcPr>
          <w:p w14:paraId="48B004DF" w14:textId="77777777" w:rsidR="00B930BA" w:rsidRDefault="00000000">
            <w:pPr>
              <w:keepNext/>
              <w:jc w:val="center"/>
            </w:pPr>
            <w:r>
              <w:t>VRIJEDNOST PREDMETA SPORA</w:t>
            </w:r>
          </w:p>
        </w:tc>
        <w:tc>
          <w:tcPr>
            <w:tcW w:w="1663" w:type="pct"/>
            <w:vAlign w:val="center"/>
          </w:tcPr>
          <w:p w14:paraId="23B7B51B" w14:textId="77777777" w:rsidR="00B930BA" w:rsidRDefault="00000000">
            <w:pPr>
              <w:keepNext/>
              <w:jc w:val="center"/>
            </w:pPr>
            <w:r>
              <w:t>PROCIJENJENO VRIJEME PRILJEVA/ODLJEVA SREDSTAVA </w:t>
            </w:r>
          </w:p>
        </w:tc>
      </w:tr>
      <w:tr w:rsidR="00B930BA" w14:paraId="34651D94" w14:textId="77777777">
        <w:tc>
          <w:tcPr>
            <w:tcW w:w="1663" w:type="pct"/>
            <w:vAlign w:val="center"/>
          </w:tcPr>
          <w:p w14:paraId="2772F382" w14:textId="77777777" w:rsidR="00B930BA" w:rsidRDefault="00000000">
            <w:r>
              <w:t xml:space="preserve">Prijedlog radi osiguranja </w:t>
            </w:r>
            <w:proofErr w:type="spellStart"/>
            <w:r>
              <w:t>prislinim</w:t>
            </w:r>
            <w:proofErr w:type="spellEnd"/>
            <w:r>
              <w:t xml:space="preserve"> zasnivanjem založnog prava na nekretnini </w:t>
            </w:r>
          </w:p>
        </w:tc>
        <w:tc>
          <w:tcPr>
            <w:tcW w:w="1663" w:type="pct"/>
            <w:vAlign w:val="center"/>
          </w:tcPr>
          <w:p w14:paraId="7FF47DB7" w14:textId="77777777" w:rsidR="00B930BA" w:rsidRDefault="00000000">
            <w:r>
              <w:t>Glavnica: 1.083,63 eura uvećano za zakonske zatezne kamate </w:t>
            </w:r>
          </w:p>
        </w:tc>
        <w:tc>
          <w:tcPr>
            <w:tcW w:w="1663" w:type="pct"/>
            <w:vAlign w:val="center"/>
          </w:tcPr>
          <w:p w14:paraId="6187DE39" w14:textId="77777777" w:rsidR="00B930BA" w:rsidRDefault="00000000">
            <w:r>
              <w:t>po završetku sudskog spora </w:t>
            </w:r>
          </w:p>
        </w:tc>
      </w:tr>
      <w:tr w:rsidR="00B930BA" w14:paraId="5925EEB8" w14:textId="77777777">
        <w:tc>
          <w:tcPr>
            <w:tcW w:w="1663" w:type="pct"/>
            <w:vAlign w:val="center"/>
          </w:tcPr>
          <w:p w14:paraId="262C8DAF" w14:textId="77777777" w:rsidR="00B930BA" w:rsidRDefault="00000000">
            <w:r>
              <w:t>Brisanje prava vlasništva </w:t>
            </w:r>
          </w:p>
        </w:tc>
        <w:tc>
          <w:tcPr>
            <w:tcW w:w="1663" w:type="pct"/>
            <w:vAlign w:val="center"/>
          </w:tcPr>
          <w:p w14:paraId="16444107" w14:textId="77777777" w:rsidR="00B930BA" w:rsidRDefault="00000000">
            <w:r>
              <w:t>VPS: 12.000,00 eura </w:t>
            </w:r>
          </w:p>
        </w:tc>
        <w:tc>
          <w:tcPr>
            <w:tcW w:w="1663" w:type="pct"/>
            <w:vAlign w:val="center"/>
          </w:tcPr>
          <w:p w14:paraId="537F63D6" w14:textId="77777777" w:rsidR="00B930BA" w:rsidRDefault="00000000">
            <w:r>
              <w:t>po završetku sudskog postupka </w:t>
            </w:r>
          </w:p>
        </w:tc>
      </w:tr>
      <w:tr w:rsidR="00B930BA" w14:paraId="6D54871E" w14:textId="77777777">
        <w:tc>
          <w:tcPr>
            <w:tcW w:w="1663" w:type="pct"/>
            <w:vAlign w:val="center"/>
          </w:tcPr>
          <w:p w14:paraId="1F43EADA" w14:textId="77777777" w:rsidR="00B930BA" w:rsidRDefault="00000000">
            <w:proofErr w:type="spellStart"/>
            <w:r>
              <w:t>Brisovna</w:t>
            </w:r>
            <w:proofErr w:type="spellEnd"/>
            <w:r>
              <w:t xml:space="preserve"> tužba </w:t>
            </w:r>
          </w:p>
        </w:tc>
        <w:tc>
          <w:tcPr>
            <w:tcW w:w="1663" w:type="pct"/>
            <w:vAlign w:val="center"/>
          </w:tcPr>
          <w:p w14:paraId="0B957727" w14:textId="77777777" w:rsidR="00B930BA" w:rsidRDefault="00000000">
            <w:r>
              <w:t>VPS: 15.000,00 eura </w:t>
            </w:r>
          </w:p>
        </w:tc>
        <w:tc>
          <w:tcPr>
            <w:tcW w:w="1663" w:type="pct"/>
            <w:vAlign w:val="center"/>
          </w:tcPr>
          <w:p w14:paraId="0008D15D" w14:textId="77777777" w:rsidR="00B930BA" w:rsidRDefault="00000000">
            <w:r>
              <w:t>po završetku sudskog postupka </w:t>
            </w:r>
          </w:p>
        </w:tc>
      </w:tr>
    </w:tbl>
    <w:p w14:paraId="5ED07BCA" w14:textId="77777777" w:rsidR="00B930BA" w:rsidRDefault="00000000">
      <w:r>
        <w:t> </w:t>
      </w:r>
    </w:p>
    <w:p w14:paraId="7F29DF9A" w14:textId="77777777" w:rsidR="00B930BA" w:rsidRDefault="00B930BA"/>
    <w:p w14:paraId="04741461" w14:textId="77777777" w:rsidR="00B930BA" w:rsidRDefault="00000000">
      <w:pPr>
        <w:keepNext/>
        <w:spacing w:line="240" w:lineRule="auto"/>
        <w:jc w:val="center"/>
      </w:pPr>
      <w:r>
        <w:rPr>
          <w:b/>
          <w:sz w:val="28"/>
        </w:rPr>
        <w:t>Izvještaj o rashodima prema funkcijskoj klasifikaciji</w:t>
      </w:r>
    </w:p>
    <w:p w14:paraId="743E8369" w14:textId="77777777" w:rsidR="00B930BA" w:rsidRDefault="00000000">
      <w:pPr>
        <w:keepNext/>
        <w:spacing w:line="240" w:lineRule="auto"/>
        <w:jc w:val="center"/>
      </w:pPr>
      <w:r>
        <w:rPr>
          <w:sz w:val="28"/>
        </w:rPr>
        <w:t>Bilješka 70.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764A0C76" w14:textId="77777777">
        <w:trPr>
          <w:cantSplit/>
        </w:trPr>
        <w:tc>
          <w:tcPr>
            <w:tcW w:w="700" w:type="dxa"/>
            <w:shd w:val="clear" w:color="auto" w:fill="E7F0F9"/>
            <w:tcMar>
              <w:top w:w="0" w:type="dxa"/>
              <w:bottom w:w="0" w:type="dxa"/>
            </w:tcMar>
            <w:vAlign w:val="center"/>
          </w:tcPr>
          <w:p w14:paraId="1D443980"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5E9BC5"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8ABE38"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B0222B" w14:textId="77777777" w:rsidR="00B930BA"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1B8B77" w14:textId="77777777" w:rsidR="00B930BA"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C1FE6A" w14:textId="77777777" w:rsidR="00B930BA" w:rsidRDefault="00000000">
            <w:pPr>
              <w:keepNext/>
              <w:keepLines/>
              <w:spacing w:after="0" w:line="240" w:lineRule="auto"/>
              <w:jc w:val="center"/>
            </w:pPr>
            <w:r>
              <w:rPr>
                <w:b/>
                <w:sz w:val="18"/>
              </w:rPr>
              <w:t>Indeks (%)</w:t>
            </w:r>
          </w:p>
        </w:tc>
      </w:tr>
      <w:tr w:rsidR="00B930BA" w14:paraId="2FE6493C" w14:textId="77777777">
        <w:trPr>
          <w:cantSplit/>
          <w:trHeight w:val="560"/>
        </w:trPr>
        <w:tc>
          <w:tcPr>
            <w:tcW w:w="700" w:type="dxa"/>
            <w:tcMar>
              <w:top w:w="0" w:type="dxa"/>
              <w:bottom w:w="0" w:type="dxa"/>
            </w:tcMar>
            <w:vAlign w:val="center"/>
          </w:tcPr>
          <w:p w14:paraId="11CCF08C" w14:textId="77777777" w:rsidR="00B930BA" w:rsidRDefault="00B930BA">
            <w:pPr>
              <w:keepNext/>
              <w:keepLines/>
              <w:spacing w:after="0" w:line="240" w:lineRule="auto"/>
            </w:pPr>
          </w:p>
        </w:tc>
        <w:tc>
          <w:tcPr>
            <w:tcW w:w="3180" w:type="dxa"/>
            <w:tcMar>
              <w:top w:w="0" w:type="dxa"/>
              <w:bottom w:w="0" w:type="dxa"/>
            </w:tcMar>
            <w:vAlign w:val="center"/>
          </w:tcPr>
          <w:p w14:paraId="7E34F110" w14:textId="77777777" w:rsidR="00B930BA"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5010FA95" w14:textId="77777777" w:rsidR="00B930BA" w:rsidRDefault="00000000">
            <w:pPr>
              <w:keepNext/>
              <w:keepLines/>
              <w:spacing w:after="0" w:line="240" w:lineRule="auto"/>
            </w:pPr>
            <w:r>
              <w:rPr>
                <w:sz w:val="18"/>
              </w:rPr>
              <w:t>R1</w:t>
            </w:r>
          </w:p>
        </w:tc>
        <w:tc>
          <w:tcPr>
            <w:tcW w:w="1860" w:type="dxa"/>
            <w:tcMar>
              <w:top w:w="0" w:type="dxa"/>
              <w:bottom w:w="0" w:type="dxa"/>
            </w:tcMar>
            <w:vAlign w:val="center"/>
          </w:tcPr>
          <w:p w14:paraId="366A0510" w14:textId="77777777" w:rsidR="00B930BA" w:rsidRDefault="00000000">
            <w:pPr>
              <w:keepNext/>
              <w:keepLines/>
              <w:spacing w:after="0" w:line="240" w:lineRule="auto"/>
              <w:jc w:val="right"/>
            </w:pPr>
            <w:r>
              <w:rPr>
                <w:sz w:val="18"/>
              </w:rPr>
              <w:t>3.914.661,75</w:t>
            </w:r>
          </w:p>
        </w:tc>
        <w:tc>
          <w:tcPr>
            <w:tcW w:w="1860" w:type="dxa"/>
            <w:tcMar>
              <w:top w:w="0" w:type="dxa"/>
              <w:bottom w:w="0" w:type="dxa"/>
            </w:tcMar>
            <w:vAlign w:val="center"/>
          </w:tcPr>
          <w:p w14:paraId="1C5115F9" w14:textId="77777777" w:rsidR="00B930BA" w:rsidRDefault="00000000">
            <w:pPr>
              <w:keepNext/>
              <w:keepLines/>
              <w:spacing w:after="0" w:line="240" w:lineRule="auto"/>
              <w:jc w:val="right"/>
            </w:pPr>
            <w:r>
              <w:rPr>
                <w:sz w:val="18"/>
              </w:rPr>
              <w:t>4.476.543,31</w:t>
            </w:r>
          </w:p>
        </w:tc>
        <w:tc>
          <w:tcPr>
            <w:tcW w:w="700" w:type="dxa"/>
            <w:tcMar>
              <w:top w:w="0" w:type="dxa"/>
              <w:bottom w:w="0" w:type="dxa"/>
            </w:tcMar>
            <w:vAlign w:val="center"/>
          </w:tcPr>
          <w:p w14:paraId="6DC4BF28" w14:textId="77777777" w:rsidR="00B930BA" w:rsidRDefault="00000000">
            <w:pPr>
              <w:keepNext/>
              <w:keepLines/>
              <w:spacing w:after="0" w:line="240" w:lineRule="auto"/>
              <w:jc w:val="right"/>
            </w:pPr>
            <w:r>
              <w:rPr>
                <w:sz w:val="18"/>
              </w:rPr>
              <w:t>114,4</w:t>
            </w:r>
          </w:p>
        </w:tc>
      </w:tr>
    </w:tbl>
    <w:p w14:paraId="30944542" w14:textId="77777777" w:rsidR="00B930BA" w:rsidRDefault="00B930BA">
      <w:pPr>
        <w:spacing w:after="0"/>
      </w:pPr>
    </w:p>
    <w:p w14:paraId="4331D33D" w14:textId="77777777" w:rsidR="00B930BA" w:rsidRDefault="00000000">
      <w:r>
        <w:t>Funkcijska klasifikacija sadrži rashode razvrstane prema njihovoj namjeni. Prema funkcijskoj klasifikaciji razvrstavaju se rashodi poslovanja razreda 3 i rashodi za nabavu nefinancijske imovine razreda 4.</w:t>
      </w:r>
    </w:p>
    <w:p w14:paraId="698191F7" w14:textId="77777777" w:rsidR="00B930BA" w:rsidRDefault="00000000">
      <w:r>
        <w:t>Grad Lepoglava je u obrascu iskazao ukupno izvršene rashode u iznosu od 4.476.543,31 euro, što odgovara razlici ukupno iskazanih rashoda i prijenosa proračunskim korisnicima iz nadležnog proračuna za financiranje redovne djelatnosti iz PR-RAS-a.</w:t>
      </w:r>
    </w:p>
    <w:p w14:paraId="2AC9A386" w14:textId="77777777" w:rsidR="00B930BA" w:rsidRDefault="00B930BA"/>
    <w:p w14:paraId="149309A6" w14:textId="77777777" w:rsidR="00B930BA" w:rsidRDefault="00000000">
      <w:pPr>
        <w:keepNext/>
        <w:spacing w:line="240" w:lineRule="auto"/>
        <w:jc w:val="center"/>
      </w:pPr>
      <w:r>
        <w:rPr>
          <w:b/>
          <w:sz w:val="28"/>
        </w:rPr>
        <w:t>Promjene u vrijednosti i obujmu imovine i obveza</w:t>
      </w:r>
    </w:p>
    <w:p w14:paraId="67E5E118" w14:textId="77777777" w:rsidR="00B930BA" w:rsidRDefault="00000000">
      <w:pPr>
        <w:keepNext/>
        <w:spacing w:line="240" w:lineRule="auto"/>
        <w:jc w:val="center"/>
      </w:pPr>
      <w:r>
        <w:rPr>
          <w:sz w:val="28"/>
        </w:rPr>
        <w:t>Bilješka 71.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930BA" w14:paraId="457CA847" w14:textId="77777777">
        <w:trPr>
          <w:cantSplit/>
        </w:trPr>
        <w:tc>
          <w:tcPr>
            <w:tcW w:w="700" w:type="dxa"/>
            <w:shd w:val="clear" w:color="auto" w:fill="E7F0F9"/>
            <w:tcMar>
              <w:top w:w="0" w:type="dxa"/>
              <w:bottom w:w="0" w:type="dxa"/>
            </w:tcMar>
            <w:vAlign w:val="center"/>
          </w:tcPr>
          <w:p w14:paraId="78F953F8"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1753C6"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F57E03"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F023F1" w14:textId="77777777" w:rsidR="00B930BA"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C9F88C6" w14:textId="77777777" w:rsidR="00B930BA"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F4F04EB" w14:textId="77777777" w:rsidR="00B930BA" w:rsidRDefault="00000000">
            <w:pPr>
              <w:keepNext/>
              <w:keepLines/>
              <w:spacing w:after="0" w:line="240" w:lineRule="auto"/>
              <w:jc w:val="center"/>
            </w:pPr>
            <w:r>
              <w:rPr>
                <w:b/>
                <w:sz w:val="18"/>
              </w:rPr>
              <w:t>Indeks (%)</w:t>
            </w:r>
          </w:p>
        </w:tc>
      </w:tr>
      <w:tr w:rsidR="00B930BA" w14:paraId="6EFFA500" w14:textId="77777777">
        <w:trPr>
          <w:cantSplit/>
          <w:trHeight w:val="560"/>
        </w:trPr>
        <w:tc>
          <w:tcPr>
            <w:tcW w:w="700" w:type="dxa"/>
            <w:tcMar>
              <w:top w:w="0" w:type="dxa"/>
              <w:bottom w:w="0" w:type="dxa"/>
            </w:tcMar>
            <w:vAlign w:val="center"/>
          </w:tcPr>
          <w:p w14:paraId="5A507DD7" w14:textId="77777777" w:rsidR="00B930BA" w:rsidRDefault="00000000">
            <w:pPr>
              <w:keepNext/>
              <w:keepLines/>
              <w:spacing w:after="0" w:line="240" w:lineRule="auto"/>
            </w:pPr>
            <w:r>
              <w:rPr>
                <w:sz w:val="18"/>
              </w:rPr>
              <w:t>91512</w:t>
            </w:r>
          </w:p>
        </w:tc>
        <w:tc>
          <w:tcPr>
            <w:tcW w:w="3180" w:type="dxa"/>
            <w:tcMar>
              <w:top w:w="0" w:type="dxa"/>
              <w:bottom w:w="0" w:type="dxa"/>
            </w:tcMar>
            <w:vAlign w:val="center"/>
          </w:tcPr>
          <w:p w14:paraId="5CF876F9" w14:textId="77777777" w:rsidR="00B930BA" w:rsidRDefault="00000000">
            <w:pPr>
              <w:keepNext/>
              <w:keepLines/>
              <w:spacing w:after="0" w:line="240" w:lineRule="auto"/>
            </w:pPr>
            <w:r>
              <w:rPr>
                <w:sz w:val="18"/>
              </w:rPr>
              <w:t>Promjene u obujmu imovine (šifre P016+P023)</w:t>
            </w:r>
          </w:p>
        </w:tc>
        <w:tc>
          <w:tcPr>
            <w:tcW w:w="700" w:type="dxa"/>
            <w:tcMar>
              <w:top w:w="0" w:type="dxa"/>
              <w:bottom w:w="0" w:type="dxa"/>
            </w:tcMar>
            <w:vAlign w:val="center"/>
          </w:tcPr>
          <w:p w14:paraId="42F90E71" w14:textId="77777777" w:rsidR="00B930BA" w:rsidRDefault="00000000">
            <w:pPr>
              <w:keepNext/>
              <w:keepLines/>
              <w:spacing w:after="0" w:line="240" w:lineRule="auto"/>
            </w:pPr>
            <w:r>
              <w:rPr>
                <w:sz w:val="18"/>
              </w:rPr>
              <w:t>91512</w:t>
            </w:r>
          </w:p>
        </w:tc>
        <w:tc>
          <w:tcPr>
            <w:tcW w:w="1860" w:type="dxa"/>
            <w:tcMar>
              <w:top w:w="0" w:type="dxa"/>
              <w:bottom w:w="0" w:type="dxa"/>
            </w:tcMar>
            <w:vAlign w:val="center"/>
          </w:tcPr>
          <w:p w14:paraId="67ABD2AD" w14:textId="77777777" w:rsidR="00B930BA" w:rsidRDefault="00000000">
            <w:pPr>
              <w:keepNext/>
              <w:keepLines/>
              <w:spacing w:after="0" w:line="240" w:lineRule="auto"/>
              <w:jc w:val="right"/>
            </w:pPr>
            <w:r>
              <w:rPr>
                <w:sz w:val="18"/>
              </w:rPr>
              <w:t>18.100,00</w:t>
            </w:r>
          </w:p>
        </w:tc>
        <w:tc>
          <w:tcPr>
            <w:tcW w:w="1860" w:type="dxa"/>
            <w:tcMar>
              <w:top w:w="0" w:type="dxa"/>
              <w:bottom w:w="0" w:type="dxa"/>
            </w:tcMar>
            <w:vAlign w:val="center"/>
          </w:tcPr>
          <w:p w14:paraId="45BE1794" w14:textId="77777777" w:rsidR="00B930BA" w:rsidRDefault="00000000">
            <w:pPr>
              <w:keepNext/>
              <w:keepLines/>
              <w:spacing w:after="0" w:line="240" w:lineRule="auto"/>
              <w:jc w:val="right"/>
            </w:pPr>
            <w:r>
              <w:rPr>
                <w:sz w:val="18"/>
              </w:rPr>
              <w:t>0,00</w:t>
            </w:r>
          </w:p>
        </w:tc>
        <w:tc>
          <w:tcPr>
            <w:tcW w:w="700" w:type="dxa"/>
            <w:tcMar>
              <w:top w:w="0" w:type="dxa"/>
              <w:bottom w:w="0" w:type="dxa"/>
            </w:tcMar>
            <w:vAlign w:val="center"/>
          </w:tcPr>
          <w:p w14:paraId="289B75B7" w14:textId="77777777" w:rsidR="00B930BA" w:rsidRDefault="00000000">
            <w:pPr>
              <w:keepNext/>
              <w:keepLines/>
              <w:spacing w:after="0" w:line="240" w:lineRule="auto"/>
              <w:jc w:val="right"/>
            </w:pPr>
            <w:r>
              <w:rPr>
                <w:sz w:val="18"/>
              </w:rPr>
              <w:t>0</w:t>
            </w:r>
          </w:p>
        </w:tc>
      </w:tr>
    </w:tbl>
    <w:p w14:paraId="6069E1B1" w14:textId="77777777" w:rsidR="00B930BA" w:rsidRDefault="00B930BA">
      <w:pPr>
        <w:spacing w:after="0"/>
      </w:pPr>
    </w:p>
    <w:p w14:paraId="59042455" w14:textId="77777777" w:rsidR="00B930BA" w:rsidRDefault="00000000">
      <w:r>
        <w:t xml:space="preserve">Tijekom 2025. godine evidentirane su promjene u vrijednosti i obujmu imovine, odnosno promjene u obujmu imovine (šifra 91512) u iznosu od 18.100,00 eura, pri čemu se taj iznos odnosi na </w:t>
      </w:r>
      <w:proofErr w:type="spellStart"/>
      <w:r>
        <w:t>neproizvedenu</w:t>
      </w:r>
      <w:proofErr w:type="spellEnd"/>
      <w:r>
        <w:t xml:space="preserve"> dugotrajnu imovinu - Ugovor o darovanju nekretnine, građevinsko zemljište, k.č.br. 2616/13 k.o. Lepoglava, Ulica hrv. pavlina, dvorište od 1.597 m2.</w:t>
      </w:r>
    </w:p>
    <w:p w14:paraId="0EF2B357" w14:textId="77777777" w:rsidR="00B930BA" w:rsidRDefault="00B930BA"/>
    <w:p w14:paraId="0FD6B7A5" w14:textId="77777777" w:rsidR="00B930BA" w:rsidRDefault="00000000">
      <w:pPr>
        <w:keepNext/>
        <w:spacing w:line="240" w:lineRule="auto"/>
        <w:jc w:val="center"/>
      </w:pPr>
      <w:r>
        <w:rPr>
          <w:b/>
          <w:sz w:val="28"/>
        </w:rPr>
        <w:t>Izvještaj o obvezama</w:t>
      </w:r>
    </w:p>
    <w:p w14:paraId="3B5000C5" w14:textId="77777777" w:rsidR="00B930BA" w:rsidRDefault="00000000">
      <w:pPr>
        <w:keepNext/>
        <w:spacing w:line="240" w:lineRule="auto"/>
        <w:jc w:val="center"/>
      </w:pPr>
      <w:r>
        <w:rPr>
          <w:sz w:val="28"/>
        </w:rPr>
        <w:t>Bilješka 72.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930BA" w14:paraId="28669CE5" w14:textId="77777777">
        <w:trPr>
          <w:cantSplit/>
        </w:trPr>
        <w:tc>
          <w:tcPr>
            <w:tcW w:w="700" w:type="dxa"/>
            <w:shd w:val="clear" w:color="auto" w:fill="E7F0F9"/>
            <w:tcMar>
              <w:top w:w="0" w:type="dxa"/>
              <w:bottom w:w="0" w:type="dxa"/>
            </w:tcMar>
            <w:vAlign w:val="center"/>
          </w:tcPr>
          <w:p w14:paraId="073A5884" w14:textId="77777777" w:rsidR="00B930BA"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627659" w14:textId="77777777" w:rsidR="00B930BA"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632F97" w14:textId="77777777" w:rsidR="00B930BA"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2585FA" w14:textId="77777777" w:rsidR="00B930BA"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91A4A9" w14:textId="77777777" w:rsidR="00B930BA" w:rsidRDefault="00000000">
            <w:pPr>
              <w:keepNext/>
              <w:keepLines/>
              <w:spacing w:after="0" w:line="240" w:lineRule="auto"/>
              <w:jc w:val="center"/>
            </w:pPr>
            <w:r>
              <w:rPr>
                <w:b/>
                <w:sz w:val="18"/>
              </w:rPr>
              <w:t>Indeks (%)</w:t>
            </w:r>
          </w:p>
        </w:tc>
      </w:tr>
      <w:tr w:rsidR="00B930BA" w14:paraId="139AE27A" w14:textId="77777777">
        <w:trPr>
          <w:cantSplit/>
          <w:trHeight w:val="560"/>
        </w:trPr>
        <w:tc>
          <w:tcPr>
            <w:tcW w:w="700" w:type="dxa"/>
            <w:tcMar>
              <w:top w:w="0" w:type="dxa"/>
              <w:bottom w:w="0" w:type="dxa"/>
            </w:tcMar>
            <w:vAlign w:val="center"/>
          </w:tcPr>
          <w:p w14:paraId="039DCB33" w14:textId="77777777" w:rsidR="00B930BA" w:rsidRDefault="00B930BA">
            <w:pPr>
              <w:keepNext/>
              <w:keepLines/>
              <w:spacing w:after="0" w:line="240" w:lineRule="auto"/>
            </w:pPr>
          </w:p>
        </w:tc>
        <w:tc>
          <w:tcPr>
            <w:tcW w:w="3180" w:type="dxa"/>
            <w:tcMar>
              <w:top w:w="0" w:type="dxa"/>
              <w:bottom w:w="0" w:type="dxa"/>
            </w:tcMar>
            <w:vAlign w:val="center"/>
          </w:tcPr>
          <w:p w14:paraId="57890B03" w14:textId="77777777" w:rsidR="00B930BA"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F7867BA" w14:textId="77777777" w:rsidR="00B930BA" w:rsidRDefault="00000000">
            <w:pPr>
              <w:keepNext/>
              <w:keepLines/>
              <w:spacing w:after="0" w:line="240" w:lineRule="auto"/>
            </w:pPr>
            <w:r>
              <w:rPr>
                <w:sz w:val="18"/>
              </w:rPr>
              <w:t>V007</w:t>
            </w:r>
          </w:p>
        </w:tc>
        <w:tc>
          <w:tcPr>
            <w:tcW w:w="1860" w:type="dxa"/>
            <w:tcMar>
              <w:top w:w="0" w:type="dxa"/>
              <w:bottom w:w="0" w:type="dxa"/>
            </w:tcMar>
            <w:vAlign w:val="center"/>
          </w:tcPr>
          <w:p w14:paraId="09302B28" w14:textId="77777777" w:rsidR="00B930BA" w:rsidRDefault="00000000">
            <w:pPr>
              <w:keepNext/>
              <w:keepLines/>
              <w:spacing w:after="0" w:line="240" w:lineRule="auto"/>
              <w:jc w:val="right"/>
            </w:pPr>
            <w:r>
              <w:rPr>
                <w:sz w:val="18"/>
              </w:rPr>
              <w:t>0,00</w:t>
            </w:r>
          </w:p>
        </w:tc>
        <w:tc>
          <w:tcPr>
            <w:tcW w:w="700" w:type="dxa"/>
            <w:tcMar>
              <w:top w:w="0" w:type="dxa"/>
              <w:bottom w:w="0" w:type="dxa"/>
            </w:tcMar>
            <w:vAlign w:val="center"/>
          </w:tcPr>
          <w:p w14:paraId="17F4562E" w14:textId="77777777" w:rsidR="00B930BA" w:rsidRDefault="00000000">
            <w:pPr>
              <w:keepNext/>
              <w:keepLines/>
              <w:spacing w:after="0" w:line="240" w:lineRule="auto"/>
              <w:jc w:val="right"/>
            </w:pPr>
            <w:r>
              <w:rPr>
                <w:sz w:val="18"/>
              </w:rPr>
              <w:t>-</w:t>
            </w:r>
          </w:p>
        </w:tc>
      </w:tr>
    </w:tbl>
    <w:p w14:paraId="37EF2BE7" w14:textId="77777777" w:rsidR="00B930BA" w:rsidRDefault="00B930BA">
      <w:pPr>
        <w:spacing w:after="0"/>
      </w:pPr>
    </w:p>
    <w:p w14:paraId="6D73FEA1" w14:textId="77777777" w:rsidR="00B930BA" w:rsidRDefault="00000000">
      <w:r>
        <w:t xml:space="preserve">Stanje obveza na početku izvještajnog razdoblja tj. 01.01. iznosi 699.083,84 €. Povećanje obveza u izvještajnom razdoblju iznosi 4.209.132,51 eura, a isto se sastoji od obveza za rashode poslovanja, obveza za nabavu nefinancijske imovine i obveza za predujmove, depozite, </w:t>
      </w:r>
      <w:proofErr w:type="spellStart"/>
      <w:r>
        <w:t>jamčevne</w:t>
      </w:r>
      <w:proofErr w:type="spellEnd"/>
      <w:r>
        <w:t xml:space="preserve"> </w:t>
      </w:r>
      <w:proofErr w:type="spellStart"/>
      <w:r>
        <w:t>pologe</w:t>
      </w:r>
      <w:proofErr w:type="spellEnd"/>
      <w:r>
        <w:t xml:space="preserve"> i tuđe prihode. U izvještajnom razdoblju podmirene su obveze u ukupnom iznosu od 4.284.869,65 eura te na kraju izvještajnog razdoblja tj. 31.12.2025. godine stanje obveza iznosi 623.346,70 eura.  </w:t>
      </w:r>
    </w:p>
    <w:p w14:paraId="15FC4BCB" w14:textId="77777777" w:rsidR="00B930BA" w:rsidRDefault="00000000">
      <w:r>
        <w:t>Stanje nedospjelih obveza na kraju izvještajnog razdoblja iznosi 623.346,70 eura a odnosi se na obveze za zaposlene (plaću za prosinac 2025. godine), po fakturama dobavljača  pristiglim krajem godine ili početkom 2026. godine, za materijalne rashode i rashode za nabavu nefinancijske imovine u 2025. godini te na obveze za financijsku imovinu u iznosu od 253.156,37 eura.</w:t>
      </w:r>
    </w:p>
    <w:p w14:paraId="0AF47467" w14:textId="77777777" w:rsidR="00B930BA" w:rsidRDefault="00B930BA"/>
    <w:sectPr w:rsidR="00B930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BA"/>
    <w:rsid w:val="001A19D3"/>
    <w:rsid w:val="00355E6D"/>
    <w:rsid w:val="007C1B62"/>
    <w:rsid w:val="00B10575"/>
    <w:rsid w:val="00B930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2F75"/>
  <w15:docId w15:val="{6A327963-6D43-424B-B63D-171F8401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5986</Words>
  <Characters>34124</Characters>
  <Application>Microsoft Office Word</Application>
  <DocSecurity>0</DocSecurity>
  <Lines>284</Lines>
  <Paragraphs>80</Paragraphs>
  <ScaleCrop>false</ScaleCrop>
  <Company/>
  <LinksUpToDate>false</LinksUpToDate>
  <CharactersWithSpaces>40030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Županić</dc:creator>
  <cp:lastModifiedBy>Marija Horvat</cp:lastModifiedBy>
  <cp:revision>2</cp:revision>
  <cp:lastPrinted>2026-02-16T12:37:00Z</cp:lastPrinted>
  <dcterms:created xsi:type="dcterms:W3CDTF">2026-02-19T08:06:00Z</dcterms:created>
  <dcterms:modified xsi:type="dcterms:W3CDTF">2026-02-19T08:06:00Z</dcterms:modified>
</cp:coreProperties>
</file>