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88159" w14:textId="77777777" w:rsidR="00A81138" w:rsidRPr="004551D9" w:rsidRDefault="00F930C8" w:rsidP="00A81138">
      <w:pPr>
        <w:pStyle w:val="Povratnaomotnica"/>
        <w:rPr>
          <w:rFonts w:ascii="Arial Narrow" w:hAnsi="Arial Narrow"/>
          <w:sz w:val="22"/>
          <w:szCs w:val="22"/>
        </w:rPr>
      </w:pPr>
      <w:r w:rsidRPr="004551D9">
        <w:rPr>
          <w:rFonts w:ascii="Arial Narrow" w:hAnsi="Arial Narrow"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58F0390B" wp14:editId="1B60A8F5">
            <wp:simplePos x="0" y="0"/>
            <wp:positionH relativeFrom="column">
              <wp:posOffset>933450</wp:posOffset>
            </wp:positionH>
            <wp:positionV relativeFrom="paragraph">
              <wp:posOffset>85725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717D0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14:paraId="2799504B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  <w:r w:rsidRPr="004551D9">
        <w:rPr>
          <w:rFonts w:ascii="Arial Narrow" w:hAnsi="Arial Narrow"/>
          <w:sz w:val="22"/>
          <w:szCs w:val="22"/>
        </w:rPr>
        <w:t xml:space="preserve">                          </w:t>
      </w:r>
    </w:p>
    <w:p w14:paraId="3FAA1CE5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14:paraId="7C235A40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14:paraId="734A3A04" w14:textId="53E9250F" w:rsidR="00A81138" w:rsidRPr="004551D9" w:rsidRDefault="006C5E36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A0280" wp14:editId="3F26B9FC">
                <wp:simplePos x="0" y="0"/>
                <wp:positionH relativeFrom="margin">
                  <wp:posOffset>62230</wp:posOffset>
                </wp:positionH>
                <wp:positionV relativeFrom="paragraph">
                  <wp:posOffset>146686</wp:posOffset>
                </wp:positionV>
                <wp:extent cx="2247900" cy="1181100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17C35" w14:textId="77777777" w:rsidR="00286F86" w:rsidRPr="00286F86" w:rsidRDefault="00286F86" w:rsidP="00286F86">
                            <w:pPr>
                              <w:keepNext/>
                              <w:spacing w:line="240" w:lineRule="atLeast"/>
                              <w:jc w:val="center"/>
                              <w:outlineLvl w:val="2"/>
                              <w:rPr>
                                <w:rFonts w:ascii="Tahoma" w:hAnsi="Tahoma" w:cs="Tahoma"/>
                                <w:b/>
                                <w:kern w:val="28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/>
                                <w:kern w:val="28"/>
                                <w:sz w:val="20"/>
                                <w:szCs w:val="20"/>
                                <w:lang w:eastAsia="en-US"/>
                              </w:rPr>
                              <w:t>REPUBLIKA HRVATSKA</w:t>
                            </w:r>
                          </w:p>
                          <w:p w14:paraId="54F6B560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1798FF97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639203EB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73AD33D2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56A9FD3E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52651A66" w14:textId="77777777" w:rsidR="00286F86" w:rsidRPr="00286F86" w:rsidRDefault="00286F86" w:rsidP="00286F86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286F86">
                                <w:rPr>
                                  <w:rFonts w:cs="Tahoma"/>
                                  <w:bCs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lepoglava@lepoglava.hr</w:t>
                              </w:r>
                            </w:hyperlink>
                          </w:p>
                          <w:p w14:paraId="71C33B2E" w14:textId="77777777" w:rsidR="00286F86" w:rsidRDefault="00286F86" w:rsidP="00EC659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</w:p>
                          <w:p w14:paraId="5CF22295" w14:textId="77777777" w:rsidR="00286F86" w:rsidRPr="00EC6597" w:rsidRDefault="00286F86" w:rsidP="00EC659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</w:p>
                          <w:p w14:paraId="0A4DFB61" w14:textId="77777777" w:rsidR="00A81138" w:rsidRDefault="00A81138" w:rsidP="00A81138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</w:p>
                          <w:p w14:paraId="6CB15EAD" w14:textId="77777777" w:rsidR="00A81138" w:rsidRDefault="00A81138" w:rsidP="00A8113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A028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.9pt;margin-top:11.55pt;width:177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" stroked="f">
                <v:textbox>
                  <w:txbxContent>
                    <w:p w14:paraId="15B17C35" w14:textId="77777777" w:rsidR="00286F86" w:rsidRPr="00286F86" w:rsidRDefault="00286F86" w:rsidP="00286F86">
                      <w:pPr>
                        <w:keepNext/>
                        <w:spacing w:line="240" w:lineRule="atLeast"/>
                        <w:jc w:val="center"/>
                        <w:outlineLvl w:val="2"/>
                        <w:rPr>
                          <w:rFonts w:ascii="Tahoma" w:hAnsi="Tahoma" w:cs="Tahoma"/>
                          <w:b/>
                          <w:kern w:val="28"/>
                          <w:sz w:val="20"/>
                          <w:szCs w:val="20"/>
                          <w:lang w:eastAsia="en-US"/>
                        </w:rPr>
                      </w:pPr>
                      <w:r w:rsidRPr="00286F86">
                        <w:rPr>
                          <w:rFonts w:ascii="Tahoma" w:hAnsi="Tahoma" w:cs="Tahoma"/>
                          <w:b/>
                          <w:kern w:val="28"/>
                          <w:sz w:val="20"/>
                          <w:szCs w:val="20"/>
                          <w:lang w:eastAsia="en-US"/>
                        </w:rPr>
                        <w:t>REPUBLIKA HRVATSKA</w:t>
                      </w:r>
                    </w:p>
                    <w:p w14:paraId="54F6B560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1798FF97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639203EB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73AD33D2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56A9FD3E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52651A66" w14:textId="77777777" w:rsidR="00286F86" w:rsidRPr="00286F86" w:rsidRDefault="00286F86" w:rsidP="00286F86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286F86">
                          <w:rPr>
                            <w:rFonts w:cs="Tahoma"/>
                            <w:bCs/>
                            <w:color w:val="0000FF"/>
                            <w:sz w:val="20"/>
                            <w:szCs w:val="20"/>
                            <w:u w:val="single"/>
                          </w:rPr>
                          <w:t>lepoglava@lepoglava.hr</w:t>
                        </w:r>
                      </w:hyperlink>
                    </w:p>
                    <w:p w14:paraId="71C33B2E" w14:textId="77777777" w:rsidR="00286F86" w:rsidRDefault="00286F86" w:rsidP="00EC6597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</w:p>
                    <w:p w14:paraId="5CF22295" w14:textId="77777777" w:rsidR="00286F86" w:rsidRPr="00EC6597" w:rsidRDefault="00286F86" w:rsidP="00EC6597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</w:p>
                    <w:p w14:paraId="0A4DFB61" w14:textId="77777777" w:rsidR="00A81138" w:rsidRDefault="00A81138" w:rsidP="00A81138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</w:p>
                    <w:p w14:paraId="6CB15EAD" w14:textId="77777777" w:rsidR="00A81138" w:rsidRDefault="00A81138" w:rsidP="00A81138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A09388" w14:textId="21E308E6" w:rsidR="00A81138" w:rsidRPr="004551D9" w:rsidRDefault="00A81138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0848876D" w14:textId="4C863697" w:rsidR="00A81138" w:rsidRPr="004551D9" w:rsidRDefault="00A81138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61800ADB" w14:textId="77777777" w:rsidR="00A81138" w:rsidRDefault="00A81138" w:rsidP="00A81138">
      <w:pPr>
        <w:rPr>
          <w:rFonts w:ascii="Arial Narrow" w:hAnsi="Arial Narrow"/>
          <w:sz w:val="22"/>
          <w:szCs w:val="22"/>
        </w:rPr>
      </w:pPr>
    </w:p>
    <w:p w14:paraId="082D69FD" w14:textId="77777777" w:rsidR="00F930C8" w:rsidRDefault="00F930C8" w:rsidP="00A81138">
      <w:pPr>
        <w:rPr>
          <w:rFonts w:ascii="Arial Narrow" w:hAnsi="Arial Narrow"/>
          <w:sz w:val="22"/>
          <w:szCs w:val="22"/>
        </w:rPr>
      </w:pPr>
    </w:p>
    <w:p w14:paraId="5147B26D" w14:textId="77777777" w:rsidR="00F930C8" w:rsidRDefault="00F930C8" w:rsidP="00A81138">
      <w:pPr>
        <w:rPr>
          <w:rFonts w:ascii="Arial Narrow" w:hAnsi="Arial Narrow"/>
          <w:sz w:val="22"/>
          <w:szCs w:val="22"/>
        </w:rPr>
      </w:pPr>
    </w:p>
    <w:p w14:paraId="4694DD2F" w14:textId="77777777" w:rsidR="00F930C8" w:rsidRPr="004551D9" w:rsidRDefault="00F930C8" w:rsidP="00A81138">
      <w:pPr>
        <w:rPr>
          <w:rFonts w:ascii="Arial Narrow" w:hAnsi="Arial Narrow"/>
          <w:sz w:val="22"/>
          <w:szCs w:val="22"/>
        </w:rPr>
      </w:pPr>
    </w:p>
    <w:p w14:paraId="4F7DD32C" w14:textId="77777777" w:rsidR="00286F86" w:rsidRDefault="00286F86" w:rsidP="006C5E36">
      <w:pPr>
        <w:rPr>
          <w:rFonts w:ascii="Arial Narrow" w:hAnsi="Arial Narrow" w:cs="Arial"/>
          <w:sz w:val="22"/>
          <w:szCs w:val="22"/>
        </w:rPr>
      </w:pPr>
    </w:p>
    <w:p w14:paraId="0DA2DEB3" w14:textId="77777777" w:rsidR="00286F86" w:rsidRDefault="00286F86" w:rsidP="006C5E36">
      <w:pPr>
        <w:rPr>
          <w:rFonts w:ascii="Arial Narrow" w:hAnsi="Arial Narrow" w:cs="Arial"/>
          <w:sz w:val="22"/>
          <w:szCs w:val="22"/>
        </w:rPr>
      </w:pPr>
    </w:p>
    <w:p w14:paraId="034AB050" w14:textId="3C464275" w:rsidR="006C5E36" w:rsidRPr="00B57FB3" w:rsidRDefault="006C5E36" w:rsidP="006C5E36">
      <w:pPr>
        <w:rPr>
          <w:rFonts w:ascii="Arial Narrow" w:hAnsi="Arial Narrow" w:cs="Arial"/>
          <w:sz w:val="22"/>
          <w:szCs w:val="22"/>
        </w:rPr>
      </w:pPr>
      <w:r w:rsidRPr="00B57FB3">
        <w:rPr>
          <w:rFonts w:ascii="Arial Narrow" w:hAnsi="Arial Narrow" w:cs="Arial"/>
          <w:sz w:val="22"/>
          <w:szCs w:val="22"/>
        </w:rPr>
        <w:t>Gradsko vijeće</w:t>
      </w:r>
    </w:p>
    <w:p w14:paraId="635A8D5B" w14:textId="7E7E741C" w:rsidR="006C5E36" w:rsidRPr="00CF0162" w:rsidRDefault="006C5E36" w:rsidP="006C5E36">
      <w:pPr>
        <w:rPr>
          <w:rFonts w:ascii="Arial Narrow" w:hAnsi="Arial Narrow" w:cs="Arial"/>
          <w:sz w:val="22"/>
          <w:szCs w:val="22"/>
        </w:rPr>
      </w:pPr>
      <w:r w:rsidRPr="00B57FB3">
        <w:rPr>
          <w:rFonts w:ascii="Arial Narrow" w:hAnsi="Arial Narrow" w:cs="Arial"/>
          <w:sz w:val="22"/>
          <w:szCs w:val="22"/>
        </w:rPr>
        <w:t>KLASA: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CF0162">
        <w:rPr>
          <w:rFonts w:ascii="Arial Narrow" w:hAnsi="Arial Narrow" w:cs="Arial"/>
          <w:sz w:val="22"/>
          <w:szCs w:val="22"/>
        </w:rPr>
        <w:t>402-0</w:t>
      </w:r>
      <w:r>
        <w:rPr>
          <w:rFonts w:ascii="Arial Narrow" w:hAnsi="Arial Narrow" w:cs="Arial"/>
          <w:sz w:val="22"/>
          <w:szCs w:val="22"/>
        </w:rPr>
        <w:t>1</w:t>
      </w:r>
      <w:r w:rsidRPr="00CF0162">
        <w:rPr>
          <w:rFonts w:ascii="Arial Narrow" w:hAnsi="Arial Narrow" w:cs="Arial"/>
          <w:sz w:val="22"/>
          <w:szCs w:val="22"/>
        </w:rPr>
        <w:t>/</w:t>
      </w:r>
      <w:r>
        <w:rPr>
          <w:rFonts w:ascii="Arial Narrow" w:hAnsi="Arial Narrow" w:cs="Arial"/>
          <w:sz w:val="22"/>
          <w:szCs w:val="22"/>
        </w:rPr>
        <w:t>24-01/</w:t>
      </w:r>
      <w:r w:rsidR="00C241FF">
        <w:rPr>
          <w:rFonts w:ascii="Arial Narrow" w:hAnsi="Arial Narrow" w:cs="Arial"/>
          <w:sz w:val="22"/>
          <w:szCs w:val="22"/>
        </w:rPr>
        <w:t>1</w:t>
      </w:r>
    </w:p>
    <w:p w14:paraId="23EDC0EB" w14:textId="3D718FE9" w:rsidR="006C5E36" w:rsidRPr="00CF0162" w:rsidRDefault="006C5E36" w:rsidP="006C5E36">
      <w:pPr>
        <w:rPr>
          <w:rFonts w:ascii="Arial Narrow" w:hAnsi="Arial Narrow" w:cs="Arial"/>
          <w:sz w:val="22"/>
          <w:szCs w:val="22"/>
        </w:rPr>
      </w:pPr>
      <w:r w:rsidRPr="00CF0162">
        <w:rPr>
          <w:rFonts w:ascii="Arial Narrow" w:hAnsi="Arial Narrow" w:cs="Arial"/>
          <w:sz w:val="22"/>
          <w:szCs w:val="22"/>
        </w:rPr>
        <w:t>URBROJ: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CF0162">
        <w:rPr>
          <w:rFonts w:ascii="Arial Narrow" w:hAnsi="Arial Narrow" w:cs="Arial"/>
          <w:sz w:val="22"/>
          <w:szCs w:val="22"/>
        </w:rPr>
        <w:t>2186-9-02-2</w:t>
      </w:r>
      <w:r>
        <w:rPr>
          <w:rFonts w:ascii="Arial Narrow" w:hAnsi="Arial Narrow" w:cs="Arial"/>
          <w:sz w:val="22"/>
          <w:szCs w:val="22"/>
        </w:rPr>
        <w:t>4-</w:t>
      </w:r>
      <w:r w:rsidR="00695219">
        <w:rPr>
          <w:rFonts w:ascii="Arial Narrow" w:hAnsi="Arial Narrow" w:cs="Arial"/>
          <w:sz w:val="22"/>
          <w:szCs w:val="22"/>
        </w:rPr>
        <w:t>3</w:t>
      </w:r>
    </w:p>
    <w:p w14:paraId="730EAE37" w14:textId="195EF3C2" w:rsidR="006C5E36" w:rsidRPr="00CF0162" w:rsidRDefault="006C5E36" w:rsidP="006C5E36">
      <w:pPr>
        <w:tabs>
          <w:tab w:val="left" w:pos="1080"/>
        </w:tabs>
        <w:rPr>
          <w:rFonts w:ascii="Arial Narrow" w:hAnsi="Arial Narrow" w:cs="Arial"/>
          <w:sz w:val="22"/>
          <w:szCs w:val="22"/>
        </w:rPr>
      </w:pPr>
      <w:r w:rsidRPr="00CF0162">
        <w:rPr>
          <w:rFonts w:ascii="Arial Narrow" w:hAnsi="Arial Narrow" w:cs="Arial"/>
          <w:sz w:val="22"/>
          <w:szCs w:val="22"/>
        </w:rPr>
        <w:t>Lepoglava,</w:t>
      </w:r>
      <w:r w:rsidR="00695219">
        <w:rPr>
          <w:rFonts w:ascii="Arial Narrow" w:hAnsi="Arial Narrow" w:cs="Arial"/>
          <w:sz w:val="22"/>
          <w:szCs w:val="22"/>
        </w:rPr>
        <w:t xml:space="preserve"> 19.12.2024.</w:t>
      </w:r>
      <w:r w:rsidR="00C241FF">
        <w:rPr>
          <w:rFonts w:ascii="Arial Narrow" w:hAnsi="Arial Narrow" w:cs="Arial"/>
          <w:sz w:val="22"/>
          <w:szCs w:val="22"/>
        </w:rPr>
        <w:t xml:space="preserve"> godine</w:t>
      </w:r>
    </w:p>
    <w:p w14:paraId="62F09303" w14:textId="77777777" w:rsidR="00A81138" w:rsidRPr="00B57FB3" w:rsidRDefault="00A81138" w:rsidP="00A81138">
      <w:pPr>
        <w:ind w:left="360"/>
        <w:rPr>
          <w:rFonts w:ascii="Arial Narrow" w:hAnsi="Arial Narrow" w:cs="Arial"/>
          <w:sz w:val="22"/>
          <w:szCs w:val="22"/>
        </w:rPr>
      </w:pPr>
    </w:p>
    <w:p w14:paraId="1923EBD4" w14:textId="51F44127" w:rsidR="006C5E36" w:rsidRPr="00B57FB3" w:rsidRDefault="006C5E36" w:rsidP="006C5E36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Temeljem odredbe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članka 10. stavka 3. Zakona o financiranju političkih aktivnosti, izborne promidžbe i referenduma („Narodne novine“ broj 29/19 i 98/19), članka 3. i 5. Odluke o načinu financiranja političkih stranaka („Službeni vjesnik Varaždinske županije“ broj 4/08) i članka 22. Statuta Grada Lepoglave</w:t>
      </w:r>
      <w:r>
        <w:rPr>
          <w:rFonts w:ascii="Arial Narrow" w:hAnsi="Arial Narrow" w:cs="Arial"/>
          <w:iCs/>
          <w:sz w:val="22"/>
          <w:szCs w:val="22"/>
        </w:rPr>
        <w:t xml:space="preserve"> („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Službeni vjesnik Varaždinske županije" broj 64/20 i 18/21), Gradsko vijeće Grada Lepoglave na </w:t>
      </w:r>
      <w:r w:rsidR="00695219">
        <w:rPr>
          <w:rFonts w:ascii="Arial Narrow" w:hAnsi="Arial Narrow" w:cs="Arial"/>
          <w:iCs/>
          <w:sz w:val="22"/>
          <w:szCs w:val="22"/>
        </w:rPr>
        <w:t>27.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sjednici održanoj dana</w:t>
      </w:r>
      <w:r w:rsidR="00695219">
        <w:rPr>
          <w:rFonts w:ascii="Arial Narrow" w:hAnsi="Arial Narrow" w:cs="Arial"/>
          <w:iCs/>
          <w:sz w:val="22"/>
          <w:szCs w:val="22"/>
        </w:rPr>
        <w:t xml:space="preserve"> 19.12.2024.</w:t>
      </w:r>
      <w:r w:rsidR="00C241FF">
        <w:rPr>
          <w:rFonts w:ascii="Arial Narrow" w:hAnsi="Arial Narrow" w:cs="Arial"/>
          <w:iCs/>
          <w:sz w:val="22"/>
          <w:szCs w:val="22"/>
        </w:rPr>
        <w:t xml:space="preserve"> 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godine,  </w:t>
      </w:r>
      <w:r w:rsidRPr="00B57FB3">
        <w:rPr>
          <w:rFonts w:ascii="Arial Narrow" w:hAnsi="Arial Narrow" w:cs="Arial"/>
          <w:bCs/>
          <w:iCs/>
          <w:sz w:val="22"/>
          <w:szCs w:val="22"/>
        </w:rPr>
        <w:t>donosi</w:t>
      </w:r>
    </w:p>
    <w:p w14:paraId="644F59BF" w14:textId="77777777" w:rsidR="00A81138" w:rsidRPr="00B57FB3" w:rsidRDefault="00A81138" w:rsidP="00A8113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22"/>
          <w:szCs w:val="22"/>
        </w:rPr>
      </w:pPr>
    </w:p>
    <w:p w14:paraId="4907E316" w14:textId="77777777" w:rsidR="006C5E36" w:rsidRPr="00B57FB3" w:rsidRDefault="006C5E36" w:rsidP="006C5E36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 w:rsidRPr="00B57FB3">
        <w:rPr>
          <w:rFonts w:ascii="Arial Narrow" w:hAnsi="Arial Narrow" w:cs="Arial"/>
          <w:b/>
          <w:bCs/>
          <w:iCs/>
          <w:sz w:val="22"/>
          <w:szCs w:val="22"/>
        </w:rPr>
        <w:t>ODLUKU</w:t>
      </w:r>
    </w:p>
    <w:p w14:paraId="4E9FA0A7" w14:textId="77777777" w:rsidR="006C5E36" w:rsidRDefault="006C5E36" w:rsidP="006C5E36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 w:rsidRPr="00B57FB3">
        <w:rPr>
          <w:rFonts w:ascii="Arial Narrow" w:hAnsi="Arial Narrow" w:cs="Arial"/>
          <w:b/>
          <w:bCs/>
          <w:iCs/>
          <w:sz w:val="22"/>
          <w:szCs w:val="22"/>
        </w:rPr>
        <w:t xml:space="preserve">o raspoređivanju sredstava za redovito financiranje političkih stranaka </w:t>
      </w:r>
    </w:p>
    <w:p w14:paraId="5CE30274" w14:textId="7871E692" w:rsidR="006C5E36" w:rsidRPr="002E7F19" w:rsidRDefault="006C5E36" w:rsidP="006C5E36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 w:rsidRPr="00B57FB3">
        <w:rPr>
          <w:rFonts w:ascii="Arial Narrow" w:hAnsi="Arial Narrow" w:cs="Arial"/>
          <w:b/>
          <w:bCs/>
          <w:iCs/>
          <w:sz w:val="22"/>
          <w:szCs w:val="22"/>
        </w:rPr>
        <w:t>zastupljenih u Gradskom vijeću Grada Lepoglave u 202</w:t>
      </w:r>
      <w:r>
        <w:rPr>
          <w:rFonts w:ascii="Arial Narrow" w:hAnsi="Arial Narrow" w:cs="Arial"/>
          <w:b/>
          <w:bCs/>
          <w:iCs/>
          <w:sz w:val="22"/>
          <w:szCs w:val="22"/>
        </w:rPr>
        <w:t>5</w:t>
      </w:r>
      <w:r w:rsidRPr="00B57FB3">
        <w:rPr>
          <w:rFonts w:ascii="Arial Narrow" w:hAnsi="Arial Narrow" w:cs="Arial"/>
          <w:b/>
          <w:bCs/>
          <w:iCs/>
          <w:sz w:val="22"/>
          <w:szCs w:val="22"/>
        </w:rPr>
        <w:t>. godini</w:t>
      </w:r>
    </w:p>
    <w:p w14:paraId="6C9D2C14" w14:textId="77777777" w:rsidR="00627080" w:rsidRPr="00B57FB3" w:rsidRDefault="00627080" w:rsidP="00A81138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iCs/>
          <w:sz w:val="22"/>
          <w:szCs w:val="22"/>
        </w:rPr>
      </w:pPr>
    </w:p>
    <w:p w14:paraId="64B0F266" w14:textId="77777777" w:rsidR="002E7AA9" w:rsidRPr="00B57FB3" w:rsidRDefault="00486B47" w:rsidP="002E7AA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1.</w:t>
      </w:r>
    </w:p>
    <w:p w14:paraId="290C1F5D" w14:textId="25DCE0C5" w:rsidR="006C5E36" w:rsidRDefault="006C5E36" w:rsidP="006C5E36">
      <w:pPr>
        <w:spacing w:line="240" w:lineRule="atLeast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(1) </w:t>
      </w:r>
      <w:r w:rsidRPr="00B57FB3">
        <w:rPr>
          <w:rFonts w:ascii="Arial Narrow" w:hAnsi="Arial Narrow" w:cs="Arial"/>
          <w:iCs/>
          <w:sz w:val="22"/>
          <w:szCs w:val="22"/>
        </w:rPr>
        <w:t>Ovom Odlukom raspoređuju se sredstva za redovito financiranje političkih stranaka zastupljenih u Gradskom vijeću Grada Lepoglave (u nastavku: Gradsko vijeće) za 202</w:t>
      </w:r>
      <w:r>
        <w:rPr>
          <w:rFonts w:ascii="Arial Narrow" w:hAnsi="Arial Narrow" w:cs="Arial"/>
          <w:iCs/>
          <w:sz w:val="22"/>
          <w:szCs w:val="22"/>
        </w:rPr>
        <w:t>5</w:t>
      </w:r>
      <w:r w:rsidRPr="00B57FB3">
        <w:rPr>
          <w:rFonts w:ascii="Arial Narrow" w:hAnsi="Arial Narrow" w:cs="Arial"/>
          <w:iCs/>
          <w:sz w:val="22"/>
          <w:szCs w:val="22"/>
        </w:rPr>
        <w:t>. godinu</w:t>
      </w:r>
      <w:r>
        <w:rPr>
          <w:rFonts w:ascii="Arial Narrow" w:hAnsi="Arial Narrow" w:cs="Arial"/>
          <w:iCs/>
          <w:sz w:val="22"/>
          <w:szCs w:val="22"/>
        </w:rPr>
        <w:t xml:space="preserve"> do isteka mandata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, </w:t>
      </w:r>
      <w:r>
        <w:rPr>
          <w:rFonts w:ascii="Arial Narrow" w:hAnsi="Arial Narrow" w:cs="Arial"/>
          <w:iCs/>
          <w:sz w:val="22"/>
          <w:szCs w:val="22"/>
        </w:rPr>
        <w:t>sukladno Konačnim rezultatima izbora članova Gradskog vijeća Grada Lepoglave provedenih 16. svibnja 2021.</w:t>
      </w:r>
      <w:r w:rsidR="00C241FF">
        <w:rPr>
          <w:rFonts w:ascii="Arial Narrow" w:hAnsi="Arial Narrow" w:cs="Arial"/>
          <w:iCs/>
          <w:sz w:val="22"/>
          <w:szCs w:val="22"/>
        </w:rPr>
        <w:t xml:space="preserve"> </w:t>
      </w:r>
      <w:r>
        <w:rPr>
          <w:rFonts w:ascii="Arial Narrow" w:hAnsi="Arial Narrow" w:cs="Arial"/>
          <w:iCs/>
          <w:sz w:val="22"/>
          <w:szCs w:val="22"/>
        </w:rPr>
        <w:t>g</w:t>
      </w:r>
      <w:r w:rsidR="00C241FF">
        <w:rPr>
          <w:rFonts w:ascii="Arial Narrow" w:hAnsi="Arial Narrow" w:cs="Arial"/>
          <w:iCs/>
          <w:sz w:val="22"/>
          <w:szCs w:val="22"/>
        </w:rPr>
        <w:t>odine</w:t>
      </w:r>
      <w:r>
        <w:rPr>
          <w:rFonts w:ascii="Arial Narrow" w:hAnsi="Arial Narrow" w:cs="Arial"/>
          <w:iCs/>
          <w:sz w:val="22"/>
          <w:szCs w:val="22"/>
        </w:rPr>
        <w:t xml:space="preserve"> te sastavu Gradskog vijeća Grada Lepoglave nakon održane konstituirajuće sjednice dana 17. lipnja 2021.</w:t>
      </w:r>
      <w:r w:rsidR="00C241FF">
        <w:rPr>
          <w:rFonts w:ascii="Arial Narrow" w:hAnsi="Arial Narrow" w:cs="Arial"/>
          <w:iCs/>
          <w:sz w:val="22"/>
          <w:szCs w:val="22"/>
        </w:rPr>
        <w:t xml:space="preserve"> godine.</w:t>
      </w:r>
      <w:r>
        <w:rPr>
          <w:rFonts w:ascii="Arial Narrow" w:hAnsi="Arial Narrow" w:cs="Arial"/>
          <w:iCs/>
          <w:sz w:val="22"/>
          <w:szCs w:val="22"/>
        </w:rPr>
        <w:t xml:space="preserve"> </w:t>
      </w:r>
    </w:p>
    <w:p w14:paraId="40EBE57A" w14:textId="77777777" w:rsidR="006C5E36" w:rsidRDefault="006C5E36" w:rsidP="006C5E36">
      <w:pPr>
        <w:autoSpaceDE w:val="0"/>
        <w:autoSpaceDN w:val="0"/>
        <w:adjustRightInd w:val="0"/>
        <w:spacing w:line="240" w:lineRule="atLeast"/>
        <w:jc w:val="both"/>
        <w:rPr>
          <w:rFonts w:ascii="Arial Narrow" w:hAnsi="Arial Narrow" w:cs="Arial"/>
          <w:iCs/>
          <w:sz w:val="22"/>
          <w:szCs w:val="22"/>
        </w:rPr>
      </w:pPr>
    </w:p>
    <w:p w14:paraId="3C53C557" w14:textId="031B1471" w:rsidR="006C5E36" w:rsidRPr="00B57FB3" w:rsidRDefault="006C5E36" w:rsidP="006C5E36">
      <w:pPr>
        <w:autoSpaceDE w:val="0"/>
        <w:autoSpaceDN w:val="0"/>
        <w:adjustRightInd w:val="0"/>
        <w:spacing w:line="240" w:lineRule="atLeast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(2) Sredstva iz stavka 1. ovoga članka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osigurana </w:t>
      </w:r>
      <w:r>
        <w:rPr>
          <w:rFonts w:ascii="Arial Narrow" w:hAnsi="Arial Narrow" w:cs="Arial"/>
          <w:iCs/>
          <w:sz w:val="22"/>
          <w:szCs w:val="22"/>
        </w:rPr>
        <w:t xml:space="preserve">su </w:t>
      </w:r>
      <w:r w:rsidRPr="00B57FB3">
        <w:rPr>
          <w:rFonts w:ascii="Arial Narrow" w:hAnsi="Arial Narrow" w:cs="Arial"/>
          <w:iCs/>
          <w:sz w:val="22"/>
          <w:szCs w:val="22"/>
        </w:rPr>
        <w:t>u Proračunu Grada Lepoglave za 202</w:t>
      </w:r>
      <w:r>
        <w:rPr>
          <w:rFonts w:ascii="Arial Narrow" w:hAnsi="Arial Narrow" w:cs="Arial"/>
          <w:iCs/>
          <w:sz w:val="22"/>
          <w:szCs w:val="22"/>
        </w:rPr>
        <w:t>5</w:t>
      </w:r>
      <w:r w:rsidRPr="00B57FB3">
        <w:rPr>
          <w:rFonts w:ascii="Arial Narrow" w:hAnsi="Arial Narrow" w:cs="Arial"/>
          <w:iCs/>
          <w:sz w:val="22"/>
          <w:szCs w:val="22"/>
        </w:rPr>
        <w:t>. godinu.</w:t>
      </w:r>
    </w:p>
    <w:p w14:paraId="121D8468" w14:textId="77777777" w:rsidR="006C5E36" w:rsidRDefault="006C5E36" w:rsidP="006C5E36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7C206E93" w14:textId="34CF5C87" w:rsidR="006C5E36" w:rsidRPr="00B57FB3" w:rsidRDefault="006C5E36" w:rsidP="006C5E36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(3) </w:t>
      </w:r>
      <w:r w:rsidRPr="00B57FB3">
        <w:rPr>
          <w:rFonts w:ascii="Arial Narrow" w:hAnsi="Arial Narrow" w:cs="Arial"/>
          <w:iCs/>
          <w:sz w:val="22"/>
          <w:szCs w:val="22"/>
        </w:rPr>
        <w:t>Riječi i pojmovi koji se koriste u ovoj Odluci, a koji imaju rodno značenje, odnose se na jednak način na muški i ženski rod, bez obzira u kojem su rodu navedeni.</w:t>
      </w:r>
    </w:p>
    <w:p w14:paraId="22E9C5F1" w14:textId="77777777" w:rsidR="00486B47" w:rsidRPr="00B57FB3" w:rsidRDefault="00486B47" w:rsidP="00A96E9B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7D5B6A7D" w14:textId="77777777" w:rsidR="00A81138" w:rsidRPr="00B57FB3" w:rsidRDefault="00486B47" w:rsidP="00A94BF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2.</w:t>
      </w:r>
    </w:p>
    <w:p w14:paraId="75F2D276" w14:textId="77777777" w:rsidR="006C5E36" w:rsidRDefault="006C5E36" w:rsidP="00C241F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(1) </w:t>
      </w:r>
      <w:r w:rsidRPr="00B57FB3">
        <w:rPr>
          <w:rFonts w:ascii="Arial Narrow" w:hAnsi="Arial Narrow" w:cs="Arial"/>
          <w:iCs/>
          <w:sz w:val="22"/>
          <w:szCs w:val="22"/>
        </w:rPr>
        <w:t>Za svakog člana Gradskog vijeća utvrđuje se jednaki iznos sredstava tako da pojedinoj političkoj stranci pripadaju sredstva razmjerno broju njezinih članova u Gradskom vijeću.</w:t>
      </w:r>
    </w:p>
    <w:p w14:paraId="5CF7B30E" w14:textId="77777777" w:rsidR="006C5E36" w:rsidRPr="00B57FB3" w:rsidRDefault="006C5E36" w:rsidP="00C241F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2ABA098C" w14:textId="77777777" w:rsidR="006C5E36" w:rsidRDefault="006C5E36" w:rsidP="00C241F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(2) 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Za svakog člana Gradskog vijeća utvrđuje se mjesečni iznos sredstava u visini od </w:t>
      </w:r>
      <w:r>
        <w:rPr>
          <w:rFonts w:ascii="Arial Narrow" w:hAnsi="Arial Narrow" w:cs="Arial"/>
          <w:iCs/>
          <w:sz w:val="22"/>
          <w:szCs w:val="22"/>
        </w:rPr>
        <w:t xml:space="preserve">66,36 eura </w:t>
      </w:r>
      <w:r w:rsidRPr="00B57FB3">
        <w:rPr>
          <w:rFonts w:ascii="Arial Narrow" w:hAnsi="Arial Narrow" w:cs="Arial"/>
          <w:iCs/>
          <w:sz w:val="22"/>
          <w:szCs w:val="22"/>
        </w:rPr>
        <w:t>mjesečno.</w:t>
      </w:r>
    </w:p>
    <w:p w14:paraId="12B104D3" w14:textId="77777777" w:rsidR="006C5E36" w:rsidRPr="00B57FB3" w:rsidRDefault="006C5E36" w:rsidP="00C241F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1B11672A" w14:textId="5A9B9B4C" w:rsidR="006C5E36" w:rsidRPr="00B57FB3" w:rsidRDefault="006C5E36" w:rsidP="00C241F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(3) 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Za svakog člana Gradskog vijeća podzastupljenog spola, pojedinoj političkoj stranci pripada i pravo na naknadu u visini od 10% iznosa predviđenog po </w:t>
      </w:r>
      <w:r w:rsidR="00C241FF">
        <w:rPr>
          <w:rFonts w:ascii="Arial Narrow" w:hAnsi="Arial Narrow" w:cs="Arial"/>
          <w:iCs/>
          <w:sz w:val="22"/>
          <w:szCs w:val="22"/>
        </w:rPr>
        <w:t>svakom članu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iz stavka 2. ovoga članka.</w:t>
      </w:r>
    </w:p>
    <w:p w14:paraId="6280F832" w14:textId="05AF671D" w:rsidR="00EA2E02" w:rsidRPr="00B57FB3" w:rsidRDefault="00EA2E02" w:rsidP="00EA2E02">
      <w:pPr>
        <w:autoSpaceDE w:val="0"/>
        <w:autoSpaceDN w:val="0"/>
        <w:adjustRightInd w:val="0"/>
        <w:rPr>
          <w:rFonts w:ascii="Arial Narrow" w:hAnsi="Arial Narrow" w:cs="Arial"/>
          <w:iCs/>
          <w:sz w:val="22"/>
          <w:szCs w:val="22"/>
        </w:rPr>
      </w:pPr>
    </w:p>
    <w:p w14:paraId="08BE8224" w14:textId="77777777" w:rsidR="00EA2E02" w:rsidRPr="00B57FB3" w:rsidRDefault="00EA2E02" w:rsidP="00A94BF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3.</w:t>
      </w:r>
    </w:p>
    <w:p w14:paraId="2596D345" w14:textId="2AA84BD7" w:rsidR="006C5E36" w:rsidRPr="00B57FB3" w:rsidRDefault="006C5E36" w:rsidP="00C241F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Političkim strankama zastupljenim u Gradskom vijeću raspoređuju se sredstva osigurana u Proračunu Grada Lepoglave za 202</w:t>
      </w:r>
      <w:r>
        <w:rPr>
          <w:rFonts w:ascii="Arial Narrow" w:hAnsi="Arial Narrow" w:cs="Arial"/>
          <w:iCs/>
          <w:sz w:val="22"/>
          <w:szCs w:val="22"/>
        </w:rPr>
        <w:t>5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. godinu </w:t>
      </w:r>
      <w:r>
        <w:rPr>
          <w:rFonts w:ascii="Arial Narrow" w:hAnsi="Arial Narrow" w:cs="Arial"/>
          <w:iCs/>
          <w:sz w:val="22"/>
          <w:szCs w:val="22"/>
        </w:rPr>
        <w:t xml:space="preserve">do isteka mandata 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na način utvrđen u članku 2. ove </w:t>
      </w:r>
      <w:r w:rsidRPr="00DE10FD">
        <w:rPr>
          <w:rFonts w:ascii="Arial Narrow" w:hAnsi="Arial Narrow" w:cs="Arial"/>
          <w:iCs/>
          <w:sz w:val="22"/>
          <w:szCs w:val="22"/>
        </w:rPr>
        <w:t>Odluke u mjesečnim iznosima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kako slijedi:</w:t>
      </w:r>
    </w:p>
    <w:p w14:paraId="445D04B0" w14:textId="77777777" w:rsidR="00EA2E02" w:rsidRPr="00B57FB3" w:rsidRDefault="00EA2E02" w:rsidP="00EA2E02">
      <w:pPr>
        <w:autoSpaceDE w:val="0"/>
        <w:autoSpaceDN w:val="0"/>
        <w:adjustRightInd w:val="0"/>
        <w:ind w:firstLine="708"/>
        <w:rPr>
          <w:rFonts w:ascii="Arial Narrow" w:hAnsi="Arial Narrow" w:cs="Arial"/>
          <w:iCs/>
          <w:sz w:val="22"/>
          <w:szCs w:val="22"/>
        </w:rPr>
      </w:pPr>
    </w:p>
    <w:p w14:paraId="3F89BDD0" w14:textId="77777777" w:rsidR="00EA2E02" w:rsidRPr="00B57FB3" w:rsidRDefault="00EA2E02" w:rsidP="001467A5">
      <w:pPr>
        <w:autoSpaceDE w:val="0"/>
        <w:autoSpaceDN w:val="0"/>
        <w:adjustRightInd w:val="0"/>
        <w:ind w:firstLine="708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14:paraId="752DE849" w14:textId="77777777" w:rsidR="00A81138" w:rsidRPr="00B57FB3" w:rsidRDefault="00A81138" w:rsidP="00A81138">
      <w:pPr>
        <w:jc w:val="right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1417"/>
        <w:gridCol w:w="1702"/>
        <w:gridCol w:w="1269"/>
      </w:tblGrid>
      <w:tr w:rsidR="00EA2E02" w:rsidRPr="00B57FB3" w14:paraId="06D36A85" w14:textId="77777777" w:rsidTr="00286F86">
        <w:trPr>
          <w:trHeight w:val="57"/>
        </w:trPr>
        <w:tc>
          <w:tcPr>
            <w:tcW w:w="2578" w:type="pct"/>
            <w:shd w:val="clear" w:color="auto" w:fill="A6A6A6" w:themeFill="background1" w:themeFillShade="A6"/>
          </w:tcPr>
          <w:p w14:paraId="7D35319A" w14:textId="77777777" w:rsidR="00EA2E02" w:rsidRPr="00B57FB3" w:rsidRDefault="00EA2E02" w:rsidP="00C241F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57FB3">
              <w:rPr>
                <w:rFonts w:ascii="Arial Narrow" w:hAnsi="Arial Narrow" w:cs="Arial"/>
                <w:b/>
                <w:iCs/>
                <w:sz w:val="22"/>
                <w:szCs w:val="22"/>
              </w:rPr>
              <w:t>NAZIV POLITIČKE STRANKE</w:t>
            </w:r>
          </w:p>
        </w:tc>
        <w:tc>
          <w:tcPr>
            <w:tcW w:w="782" w:type="pct"/>
            <w:shd w:val="clear" w:color="auto" w:fill="A6A6A6" w:themeFill="background1" w:themeFillShade="A6"/>
          </w:tcPr>
          <w:p w14:paraId="7CBCCF29" w14:textId="444B9B4A" w:rsidR="00EA2E02" w:rsidRPr="00B57FB3" w:rsidRDefault="00EA2E02" w:rsidP="00C241FF">
            <w:pPr>
              <w:jc w:val="center"/>
              <w:rPr>
                <w:rFonts w:ascii="Arial Narrow" w:hAnsi="Arial Narrow" w:cs="Arial"/>
                <w:b/>
                <w:iCs/>
              </w:rPr>
            </w:pPr>
            <w:r w:rsidRPr="00B57FB3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Ukupan broj </w:t>
            </w:r>
            <w:r w:rsidR="00C241FF">
              <w:rPr>
                <w:rFonts w:ascii="Arial Narrow" w:hAnsi="Arial Narrow" w:cs="Arial"/>
                <w:b/>
                <w:iCs/>
                <w:sz w:val="22"/>
                <w:szCs w:val="22"/>
              </w:rPr>
              <w:t>članova</w:t>
            </w:r>
          </w:p>
        </w:tc>
        <w:tc>
          <w:tcPr>
            <w:tcW w:w="939" w:type="pct"/>
            <w:shd w:val="clear" w:color="auto" w:fill="A6A6A6" w:themeFill="background1" w:themeFillShade="A6"/>
          </w:tcPr>
          <w:p w14:paraId="72645F96" w14:textId="1A65BD2F" w:rsidR="00EA2E02" w:rsidRPr="00B57FB3" w:rsidRDefault="00EA2E02" w:rsidP="00C241FF">
            <w:pPr>
              <w:jc w:val="center"/>
              <w:rPr>
                <w:rFonts w:ascii="Arial Narrow" w:hAnsi="Arial Narrow" w:cs="Arial"/>
                <w:b/>
                <w:iCs/>
              </w:rPr>
            </w:pPr>
            <w:r w:rsidRPr="00B57FB3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Broj </w:t>
            </w:r>
            <w:r w:rsidR="00C241FF">
              <w:rPr>
                <w:rFonts w:ascii="Arial Narrow" w:hAnsi="Arial Narrow" w:cs="Arial"/>
                <w:b/>
                <w:iCs/>
                <w:sz w:val="22"/>
                <w:szCs w:val="22"/>
              </w:rPr>
              <w:t>članova</w:t>
            </w:r>
            <w:r w:rsidRPr="00B57FB3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 podzastupljenog spola</w:t>
            </w:r>
          </w:p>
        </w:tc>
        <w:tc>
          <w:tcPr>
            <w:tcW w:w="700" w:type="pct"/>
            <w:shd w:val="clear" w:color="auto" w:fill="A6A6A6" w:themeFill="background1" w:themeFillShade="A6"/>
          </w:tcPr>
          <w:p w14:paraId="0FB3FBE6" w14:textId="77777777" w:rsidR="00EA2E02" w:rsidRPr="00B57FB3" w:rsidRDefault="00EA2E02" w:rsidP="00C241F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57FB3">
              <w:rPr>
                <w:rFonts w:ascii="Arial Narrow" w:hAnsi="Arial Narrow" w:cs="Arial"/>
                <w:b/>
                <w:iCs/>
                <w:sz w:val="22"/>
                <w:szCs w:val="22"/>
              </w:rPr>
              <w:t>IZNOS</w:t>
            </w:r>
          </w:p>
        </w:tc>
      </w:tr>
      <w:tr w:rsidR="00286F86" w:rsidRPr="00B57FB3" w14:paraId="44BC17B8" w14:textId="77777777" w:rsidTr="00286F86">
        <w:trPr>
          <w:trHeight w:val="57"/>
        </w:trPr>
        <w:tc>
          <w:tcPr>
            <w:tcW w:w="2578" w:type="pct"/>
            <w:vAlign w:val="center"/>
          </w:tcPr>
          <w:p w14:paraId="77AA1A20" w14:textId="7E58C877" w:rsidR="00286F86" w:rsidRPr="00B57FB3" w:rsidRDefault="00286F86" w:rsidP="00286F86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Hrvatska demokratska zajednica - HDZ</w:t>
            </w:r>
          </w:p>
        </w:tc>
        <w:tc>
          <w:tcPr>
            <w:tcW w:w="782" w:type="pct"/>
          </w:tcPr>
          <w:p w14:paraId="53B9251A" w14:textId="7F93E558" w:rsidR="00286F86" w:rsidRPr="00B57FB3" w:rsidRDefault="00286F86" w:rsidP="00286F86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4</w:t>
            </w:r>
          </w:p>
        </w:tc>
        <w:tc>
          <w:tcPr>
            <w:tcW w:w="939" w:type="pct"/>
          </w:tcPr>
          <w:p w14:paraId="00D12A72" w14:textId="0D28C3D6" w:rsidR="00286F86" w:rsidRPr="00B57FB3" w:rsidRDefault="00286F86" w:rsidP="00286F86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1</w:t>
            </w:r>
          </w:p>
        </w:tc>
        <w:tc>
          <w:tcPr>
            <w:tcW w:w="700" w:type="pct"/>
            <w:vAlign w:val="center"/>
          </w:tcPr>
          <w:p w14:paraId="7355FC47" w14:textId="08DF89E8" w:rsidR="00286F86" w:rsidRPr="00B57FB3" w:rsidRDefault="00286F86" w:rsidP="00286F86">
            <w:pPr>
              <w:spacing w:line="360" w:lineRule="auto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272,08 eura</w:t>
            </w:r>
          </w:p>
        </w:tc>
      </w:tr>
      <w:tr w:rsidR="00286F86" w:rsidRPr="00B57FB3" w14:paraId="731E4074" w14:textId="77777777" w:rsidTr="00286F86">
        <w:trPr>
          <w:trHeight w:val="57"/>
        </w:trPr>
        <w:tc>
          <w:tcPr>
            <w:tcW w:w="2578" w:type="pct"/>
            <w:vAlign w:val="center"/>
          </w:tcPr>
          <w:p w14:paraId="7EE6D0D2" w14:textId="40D8CC32" w:rsidR="00286F86" w:rsidRPr="00B57FB3" w:rsidRDefault="00286F86" w:rsidP="00286F86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Hrvatska narodna stranka- Liberalni demokrati - HNS</w:t>
            </w:r>
          </w:p>
        </w:tc>
        <w:tc>
          <w:tcPr>
            <w:tcW w:w="782" w:type="pct"/>
          </w:tcPr>
          <w:p w14:paraId="77E60677" w14:textId="240D2AC3" w:rsidR="00286F86" w:rsidRPr="00B57FB3" w:rsidRDefault="00286F86" w:rsidP="00286F86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3</w:t>
            </w:r>
          </w:p>
        </w:tc>
        <w:tc>
          <w:tcPr>
            <w:tcW w:w="939" w:type="pct"/>
          </w:tcPr>
          <w:p w14:paraId="4E92FEF0" w14:textId="13BE5109" w:rsidR="00286F86" w:rsidRPr="00B57FB3" w:rsidRDefault="00286F86" w:rsidP="00286F86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1</w:t>
            </w:r>
          </w:p>
        </w:tc>
        <w:tc>
          <w:tcPr>
            <w:tcW w:w="700" w:type="pct"/>
            <w:vAlign w:val="center"/>
          </w:tcPr>
          <w:p w14:paraId="784B12D4" w14:textId="548C4D74" w:rsidR="00286F86" w:rsidRPr="00B57FB3" w:rsidRDefault="00286F86" w:rsidP="00286F86">
            <w:pPr>
              <w:spacing w:line="360" w:lineRule="auto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205,72 eura</w:t>
            </w:r>
          </w:p>
        </w:tc>
      </w:tr>
      <w:tr w:rsidR="00286F86" w:rsidRPr="00B57FB3" w14:paraId="1C8AADF7" w14:textId="77777777" w:rsidTr="00286F86">
        <w:trPr>
          <w:trHeight w:val="57"/>
        </w:trPr>
        <w:tc>
          <w:tcPr>
            <w:tcW w:w="2578" w:type="pct"/>
            <w:vAlign w:val="center"/>
          </w:tcPr>
          <w:p w14:paraId="6A9BA2A4" w14:textId="0189AAFD" w:rsidR="00286F86" w:rsidRPr="00B57FB3" w:rsidRDefault="00286F86" w:rsidP="00286F86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Socijaldemokratska partija Hrvatske - SDP</w:t>
            </w:r>
          </w:p>
        </w:tc>
        <w:tc>
          <w:tcPr>
            <w:tcW w:w="782" w:type="pct"/>
          </w:tcPr>
          <w:p w14:paraId="6FBB5B32" w14:textId="2E034387" w:rsidR="00286F86" w:rsidRPr="00B57FB3" w:rsidRDefault="00286F86" w:rsidP="00286F86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3</w:t>
            </w:r>
          </w:p>
        </w:tc>
        <w:tc>
          <w:tcPr>
            <w:tcW w:w="939" w:type="pct"/>
          </w:tcPr>
          <w:p w14:paraId="01A68368" w14:textId="61A0E7D5" w:rsidR="00286F86" w:rsidRPr="00B57FB3" w:rsidRDefault="00286F86" w:rsidP="00286F86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2</w:t>
            </w:r>
          </w:p>
        </w:tc>
        <w:tc>
          <w:tcPr>
            <w:tcW w:w="700" w:type="pct"/>
            <w:vAlign w:val="center"/>
          </w:tcPr>
          <w:p w14:paraId="6C0BD22B" w14:textId="6DE3DE92" w:rsidR="00286F86" w:rsidRPr="00B57FB3" w:rsidRDefault="00286F86" w:rsidP="00286F86">
            <w:pPr>
              <w:spacing w:line="360" w:lineRule="auto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212,36 eura</w:t>
            </w:r>
          </w:p>
        </w:tc>
      </w:tr>
      <w:tr w:rsidR="00286F86" w:rsidRPr="00B57FB3" w14:paraId="1300007B" w14:textId="77777777" w:rsidTr="00286F86">
        <w:trPr>
          <w:trHeight w:val="57"/>
        </w:trPr>
        <w:tc>
          <w:tcPr>
            <w:tcW w:w="2578" w:type="pct"/>
            <w:vAlign w:val="center"/>
          </w:tcPr>
          <w:p w14:paraId="0F40A2CB" w14:textId="4484DA7C" w:rsidR="00286F86" w:rsidRPr="00B57FB3" w:rsidRDefault="00286F86" w:rsidP="00286F86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Hrvatska seljačka stranka - HSS</w:t>
            </w:r>
          </w:p>
        </w:tc>
        <w:tc>
          <w:tcPr>
            <w:tcW w:w="782" w:type="pct"/>
          </w:tcPr>
          <w:p w14:paraId="3DB1F2DA" w14:textId="2582A968" w:rsidR="00286F86" w:rsidRPr="00B57FB3" w:rsidRDefault="00286F86" w:rsidP="00286F86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2</w:t>
            </w:r>
          </w:p>
        </w:tc>
        <w:tc>
          <w:tcPr>
            <w:tcW w:w="939" w:type="pct"/>
          </w:tcPr>
          <w:p w14:paraId="6EBE7C5E" w14:textId="2E4609D3" w:rsidR="00286F86" w:rsidRPr="00B57FB3" w:rsidRDefault="00286F86" w:rsidP="00286F86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0</w:t>
            </w:r>
          </w:p>
        </w:tc>
        <w:tc>
          <w:tcPr>
            <w:tcW w:w="700" w:type="pct"/>
            <w:vAlign w:val="center"/>
          </w:tcPr>
          <w:p w14:paraId="1CB626ED" w14:textId="50C2AA19" w:rsidR="00286F86" w:rsidRPr="00B57FB3" w:rsidRDefault="00286F86" w:rsidP="00286F86">
            <w:pPr>
              <w:spacing w:line="360" w:lineRule="auto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132,72 eura</w:t>
            </w:r>
          </w:p>
        </w:tc>
      </w:tr>
      <w:tr w:rsidR="00286F86" w:rsidRPr="00B57FB3" w14:paraId="5DAB96BF" w14:textId="77777777" w:rsidTr="00286F86">
        <w:trPr>
          <w:trHeight w:val="57"/>
        </w:trPr>
        <w:tc>
          <w:tcPr>
            <w:tcW w:w="2578" w:type="pct"/>
            <w:vAlign w:val="center"/>
          </w:tcPr>
          <w:p w14:paraId="021F32DF" w14:textId="5C99C77C" w:rsidR="00286F86" w:rsidRPr="00B57FB3" w:rsidRDefault="00286F86" w:rsidP="00286F86">
            <w:pPr>
              <w:spacing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Narodna stranka - Reformisti - Reformisti</w:t>
            </w:r>
          </w:p>
        </w:tc>
        <w:tc>
          <w:tcPr>
            <w:tcW w:w="782" w:type="pct"/>
          </w:tcPr>
          <w:p w14:paraId="01EF53BB" w14:textId="55CCA8AE" w:rsidR="00286F86" w:rsidRPr="00B57FB3" w:rsidRDefault="00286F86" w:rsidP="00286F86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1</w:t>
            </w:r>
          </w:p>
        </w:tc>
        <w:tc>
          <w:tcPr>
            <w:tcW w:w="939" w:type="pct"/>
          </w:tcPr>
          <w:p w14:paraId="556BE1AF" w14:textId="0CCB28E4" w:rsidR="00286F86" w:rsidRPr="00B57FB3" w:rsidRDefault="00286F86" w:rsidP="00286F86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0</w:t>
            </w:r>
          </w:p>
        </w:tc>
        <w:tc>
          <w:tcPr>
            <w:tcW w:w="700" w:type="pct"/>
            <w:vAlign w:val="center"/>
          </w:tcPr>
          <w:p w14:paraId="26BDE29E" w14:textId="4F79B761" w:rsidR="00286F86" w:rsidRPr="00B57FB3" w:rsidRDefault="00286F86" w:rsidP="00286F86">
            <w:pPr>
              <w:spacing w:line="360" w:lineRule="auto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66,36 eura</w:t>
            </w:r>
          </w:p>
        </w:tc>
      </w:tr>
      <w:tr w:rsidR="00286F86" w:rsidRPr="00B57FB3" w14:paraId="1C326F94" w14:textId="77777777" w:rsidTr="00286F86">
        <w:trPr>
          <w:trHeight w:val="57"/>
        </w:trPr>
        <w:tc>
          <w:tcPr>
            <w:tcW w:w="2578" w:type="pct"/>
            <w:vAlign w:val="center"/>
          </w:tcPr>
          <w:p w14:paraId="1AC304F1" w14:textId="51044F91" w:rsidR="00286F86" w:rsidRPr="00B57FB3" w:rsidRDefault="00286F86" w:rsidP="00286F86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 w:rsidRPr="00B57FB3">
              <w:rPr>
                <w:rFonts w:ascii="Arial Narrow" w:hAnsi="Arial Narrow" w:cs="Arial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782" w:type="pct"/>
          </w:tcPr>
          <w:p w14:paraId="46A14613" w14:textId="53970D8C" w:rsidR="00286F86" w:rsidRPr="00B57FB3" w:rsidRDefault="00286F86" w:rsidP="00286F86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B57FB3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9" w:type="pct"/>
          </w:tcPr>
          <w:p w14:paraId="340A2D68" w14:textId="57692330" w:rsidR="00286F86" w:rsidRPr="00B57FB3" w:rsidRDefault="00286F86" w:rsidP="00286F86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0" w:type="pct"/>
            <w:vAlign w:val="center"/>
          </w:tcPr>
          <w:p w14:paraId="057CB4D8" w14:textId="483411AA" w:rsidR="00286F86" w:rsidRPr="00B57FB3" w:rsidRDefault="00286F86" w:rsidP="00286F86">
            <w:pPr>
              <w:spacing w:line="360" w:lineRule="auto"/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889,24 eura</w:t>
            </w:r>
          </w:p>
        </w:tc>
      </w:tr>
    </w:tbl>
    <w:p w14:paraId="55EF4194" w14:textId="77777777" w:rsidR="00841088" w:rsidRPr="00B57FB3" w:rsidRDefault="00841088" w:rsidP="00841088">
      <w:pPr>
        <w:autoSpaceDE w:val="0"/>
        <w:autoSpaceDN w:val="0"/>
        <w:adjustRightInd w:val="0"/>
        <w:ind w:firstLine="708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14:paraId="56B3A92D" w14:textId="77777777" w:rsidR="008979D8" w:rsidRPr="00B57FB3" w:rsidRDefault="008979D8" w:rsidP="00841088">
      <w:pPr>
        <w:autoSpaceDE w:val="0"/>
        <w:autoSpaceDN w:val="0"/>
        <w:adjustRightInd w:val="0"/>
        <w:ind w:firstLine="708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14:paraId="456DF817" w14:textId="77777777" w:rsidR="008979D8" w:rsidRPr="00B57FB3" w:rsidRDefault="00A94BF9" w:rsidP="00A94BF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4.</w:t>
      </w:r>
    </w:p>
    <w:p w14:paraId="1938A700" w14:textId="58E6C704" w:rsidR="002E7AA9" w:rsidRPr="00B57FB3" w:rsidRDefault="00286F86" w:rsidP="001026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(1) </w:t>
      </w:r>
      <w:r w:rsidR="00841088" w:rsidRPr="00B57FB3">
        <w:rPr>
          <w:rFonts w:ascii="Arial Narrow" w:hAnsi="Arial Narrow" w:cs="Arial"/>
          <w:iCs/>
          <w:sz w:val="22"/>
          <w:szCs w:val="22"/>
        </w:rPr>
        <w:t xml:space="preserve">Sredstva iz </w:t>
      </w:r>
      <w:r w:rsidR="007E0365" w:rsidRPr="00B57FB3">
        <w:rPr>
          <w:rFonts w:ascii="Arial Narrow" w:hAnsi="Arial Narrow" w:cs="Arial"/>
          <w:iCs/>
          <w:sz w:val="22"/>
          <w:szCs w:val="22"/>
        </w:rPr>
        <w:t>članka 3.</w:t>
      </w:r>
      <w:r w:rsidR="008979D8" w:rsidRPr="00B57FB3">
        <w:rPr>
          <w:rFonts w:ascii="Arial Narrow" w:hAnsi="Arial Narrow" w:cs="Arial"/>
          <w:iCs/>
          <w:sz w:val="22"/>
          <w:szCs w:val="22"/>
        </w:rPr>
        <w:t xml:space="preserve"> </w:t>
      </w:r>
      <w:r w:rsidR="00DE47D0" w:rsidRPr="00B57FB3">
        <w:rPr>
          <w:rFonts w:ascii="Arial Narrow" w:hAnsi="Arial Narrow" w:cs="Arial"/>
          <w:iCs/>
          <w:sz w:val="22"/>
          <w:szCs w:val="22"/>
        </w:rPr>
        <w:t xml:space="preserve"> o</w:t>
      </w:r>
      <w:r w:rsidR="002E7AA9" w:rsidRPr="00B57FB3">
        <w:rPr>
          <w:rFonts w:ascii="Arial Narrow" w:hAnsi="Arial Narrow" w:cs="Arial"/>
          <w:iCs/>
          <w:sz w:val="22"/>
          <w:szCs w:val="22"/>
        </w:rPr>
        <w:t xml:space="preserve">ve Odluke </w:t>
      </w:r>
      <w:r w:rsidR="00674BD6" w:rsidRPr="00B57FB3">
        <w:rPr>
          <w:rFonts w:ascii="Arial Narrow" w:hAnsi="Arial Narrow" w:cs="Arial"/>
          <w:iCs/>
          <w:sz w:val="22"/>
          <w:szCs w:val="22"/>
        </w:rPr>
        <w:t>doznačuje O</w:t>
      </w:r>
      <w:r w:rsidR="00841088" w:rsidRPr="00B57FB3">
        <w:rPr>
          <w:rFonts w:ascii="Arial Narrow" w:hAnsi="Arial Narrow" w:cs="Arial"/>
          <w:iCs/>
          <w:sz w:val="22"/>
          <w:szCs w:val="22"/>
        </w:rPr>
        <w:t>dsjek za proračun i fi</w:t>
      </w:r>
      <w:r w:rsidR="00796BD7" w:rsidRPr="00B57FB3">
        <w:rPr>
          <w:rFonts w:ascii="Arial Narrow" w:hAnsi="Arial Narrow" w:cs="Arial"/>
          <w:iCs/>
          <w:sz w:val="22"/>
          <w:szCs w:val="22"/>
        </w:rPr>
        <w:t>nancije Grada Lepoglave na žiro</w:t>
      </w:r>
      <w:r w:rsidR="00841088" w:rsidRPr="00B57FB3">
        <w:rPr>
          <w:rFonts w:ascii="Arial Narrow" w:hAnsi="Arial Narrow" w:cs="Arial"/>
          <w:iCs/>
          <w:sz w:val="22"/>
          <w:szCs w:val="22"/>
        </w:rPr>
        <w:t>račun političke stranke, tromjesečno u jednakim iznosima.</w:t>
      </w:r>
      <w:r w:rsidR="002E7AA9" w:rsidRPr="00B57FB3">
        <w:rPr>
          <w:rFonts w:ascii="Arial Narrow" w:hAnsi="Arial Narrow" w:cs="Arial"/>
          <w:iCs/>
          <w:sz w:val="22"/>
          <w:szCs w:val="22"/>
        </w:rPr>
        <w:t xml:space="preserve"> </w:t>
      </w:r>
    </w:p>
    <w:p w14:paraId="2D6B5FC0" w14:textId="0C3B32E7" w:rsidR="00841088" w:rsidRPr="00B57FB3" w:rsidRDefault="00286F86" w:rsidP="001026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(2) </w:t>
      </w:r>
      <w:r w:rsidR="002E7AA9" w:rsidRPr="00B57FB3">
        <w:rPr>
          <w:rFonts w:ascii="Arial Narrow" w:hAnsi="Arial Narrow" w:cs="Arial"/>
          <w:iCs/>
          <w:sz w:val="22"/>
          <w:szCs w:val="22"/>
        </w:rPr>
        <w:t xml:space="preserve">Ako se </w:t>
      </w:r>
      <w:r>
        <w:rPr>
          <w:rFonts w:ascii="Arial Narrow" w:hAnsi="Arial Narrow" w:cs="Arial"/>
          <w:iCs/>
          <w:sz w:val="22"/>
          <w:szCs w:val="22"/>
        </w:rPr>
        <w:t xml:space="preserve">početak ili </w:t>
      </w:r>
      <w:r w:rsidR="002E7AA9" w:rsidRPr="00B57FB3">
        <w:rPr>
          <w:rFonts w:ascii="Arial Narrow" w:hAnsi="Arial Narrow" w:cs="Arial"/>
          <w:iCs/>
          <w:sz w:val="22"/>
          <w:szCs w:val="22"/>
        </w:rPr>
        <w:t>završetak mandata ne poklapa sa završetkom tromjesečja, u tom se tromjesečju isplaćuje iznos razmjeran broju dana trajanja mandata.</w:t>
      </w:r>
    </w:p>
    <w:p w14:paraId="0B451DCC" w14:textId="77777777" w:rsidR="008979D8" w:rsidRDefault="008979D8" w:rsidP="00E45A3C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iCs/>
          <w:sz w:val="22"/>
          <w:szCs w:val="22"/>
        </w:rPr>
      </w:pPr>
    </w:p>
    <w:p w14:paraId="52631437" w14:textId="77777777" w:rsidR="00286F86" w:rsidRPr="00B57FB3" w:rsidRDefault="00286F86" w:rsidP="00E45A3C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iCs/>
          <w:sz w:val="22"/>
          <w:szCs w:val="22"/>
        </w:rPr>
      </w:pPr>
    </w:p>
    <w:p w14:paraId="7594D4CD" w14:textId="77777777" w:rsidR="00841088" w:rsidRPr="00B57FB3" w:rsidRDefault="00A94BF9" w:rsidP="00841088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B57FB3">
        <w:rPr>
          <w:rFonts w:ascii="Arial Narrow" w:hAnsi="Arial Narrow" w:cs="Arial"/>
          <w:b/>
          <w:bCs/>
          <w:sz w:val="22"/>
          <w:szCs w:val="22"/>
        </w:rPr>
        <w:t>Članak 5.</w:t>
      </w:r>
    </w:p>
    <w:p w14:paraId="54EDD3A5" w14:textId="77777777" w:rsidR="00841088" w:rsidRPr="00B57FB3" w:rsidRDefault="002E7AA9" w:rsidP="001026C1">
      <w:pPr>
        <w:jc w:val="both"/>
        <w:rPr>
          <w:rFonts w:ascii="Arial Narrow" w:hAnsi="Arial Narrow" w:cs="Arial"/>
          <w:bCs/>
          <w:sz w:val="22"/>
          <w:szCs w:val="22"/>
        </w:rPr>
      </w:pPr>
      <w:r w:rsidRPr="00B57FB3">
        <w:rPr>
          <w:rFonts w:ascii="Arial Narrow" w:hAnsi="Arial Narrow" w:cs="Arial"/>
          <w:bCs/>
          <w:sz w:val="22"/>
          <w:szCs w:val="22"/>
        </w:rPr>
        <w:t>Ova Odluka</w:t>
      </w:r>
      <w:r w:rsidR="00841088" w:rsidRPr="00B57FB3">
        <w:rPr>
          <w:rFonts w:ascii="Arial Narrow" w:hAnsi="Arial Narrow" w:cs="Arial"/>
          <w:bCs/>
          <w:sz w:val="22"/>
          <w:szCs w:val="22"/>
        </w:rPr>
        <w:t xml:space="preserve"> </w:t>
      </w:r>
      <w:r w:rsidR="00A94BF9" w:rsidRPr="00B57FB3">
        <w:rPr>
          <w:rFonts w:ascii="Arial Narrow" w:hAnsi="Arial Narrow" w:cs="Arial"/>
          <w:bCs/>
          <w:sz w:val="22"/>
          <w:szCs w:val="22"/>
        </w:rPr>
        <w:t xml:space="preserve">stupa na snagu prvog dana od dana </w:t>
      </w:r>
      <w:r w:rsidR="00A96E9B" w:rsidRPr="00B57FB3">
        <w:rPr>
          <w:rFonts w:ascii="Arial Narrow" w:hAnsi="Arial Narrow" w:cs="Arial"/>
          <w:bCs/>
          <w:sz w:val="22"/>
          <w:szCs w:val="22"/>
        </w:rPr>
        <w:t>objave u „Službenom vjesniku Varaždinske županije“</w:t>
      </w:r>
      <w:r w:rsidR="00A94BF9" w:rsidRPr="00B57FB3">
        <w:rPr>
          <w:rFonts w:ascii="Arial Narrow" w:hAnsi="Arial Narrow" w:cs="Arial"/>
          <w:bCs/>
          <w:sz w:val="22"/>
          <w:szCs w:val="22"/>
        </w:rPr>
        <w:t>, a primjenjivati će se do prestanka mandata članovima sadašnjeg saziva Gradskog vijeća.</w:t>
      </w:r>
    </w:p>
    <w:p w14:paraId="42DD553B" w14:textId="77777777" w:rsidR="00A94BF9" w:rsidRPr="00B57FB3" w:rsidRDefault="00A94BF9" w:rsidP="00A94BF9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1B8EAD" w14:textId="77777777" w:rsidR="00374B66" w:rsidRPr="00B57FB3" w:rsidRDefault="00374B66" w:rsidP="00841088">
      <w:pPr>
        <w:rPr>
          <w:rFonts w:ascii="Arial Narrow" w:hAnsi="Arial Narrow" w:cs="Arial"/>
          <w:b/>
          <w:bCs/>
          <w:sz w:val="22"/>
          <w:szCs w:val="22"/>
        </w:rPr>
      </w:pPr>
    </w:p>
    <w:p w14:paraId="048D7A9A" w14:textId="77777777" w:rsidR="00286F86" w:rsidRDefault="00286F86" w:rsidP="00E45A3C">
      <w:pPr>
        <w:jc w:val="right"/>
        <w:rPr>
          <w:rFonts w:ascii="Arial Narrow" w:hAnsi="Arial Narrow" w:cs="Arial"/>
          <w:b/>
          <w:bCs/>
          <w:sz w:val="22"/>
          <w:szCs w:val="22"/>
        </w:rPr>
      </w:pPr>
    </w:p>
    <w:p w14:paraId="7C3D5F4E" w14:textId="30C4AF7F" w:rsidR="00E45A3C" w:rsidRPr="00B57FB3" w:rsidRDefault="00841088" w:rsidP="00E45A3C">
      <w:pPr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B57FB3">
        <w:rPr>
          <w:rFonts w:ascii="Arial Narrow" w:hAnsi="Arial Narrow" w:cs="Arial"/>
          <w:b/>
          <w:bCs/>
          <w:sz w:val="22"/>
          <w:szCs w:val="22"/>
        </w:rPr>
        <w:t xml:space="preserve">PREDSJEDNIK </w:t>
      </w:r>
      <w:r w:rsidR="00286F86">
        <w:rPr>
          <w:rFonts w:ascii="Arial Narrow" w:hAnsi="Arial Narrow" w:cs="Arial"/>
          <w:b/>
          <w:bCs/>
          <w:sz w:val="22"/>
          <w:szCs w:val="22"/>
        </w:rPr>
        <w:t xml:space="preserve">GRADSKOG </w:t>
      </w:r>
      <w:r w:rsidRPr="00B57FB3">
        <w:rPr>
          <w:rFonts w:ascii="Arial Narrow" w:hAnsi="Arial Narrow" w:cs="Arial"/>
          <w:b/>
          <w:bCs/>
          <w:sz w:val="22"/>
          <w:szCs w:val="22"/>
        </w:rPr>
        <w:t>VIJEĆA</w:t>
      </w:r>
    </w:p>
    <w:p w14:paraId="597E3915" w14:textId="032EAD8D" w:rsidR="008979D8" w:rsidRDefault="00286F86" w:rsidP="00286F86">
      <w:p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BD0E98" w:rsidRPr="00B57FB3">
        <w:rPr>
          <w:rFonts w:ascii="Arial Narrow" w:hAnsi="Arial Narrow" w:cs="Arial"/>
          <w:bCs/>
          <w:sz w:val="22"/>
          <w:szCs w:val="22"/>
        </w:rPr>
        <w:t xml:space="preserve">Robert </w:t>
      </w:r>
      <w:proofErr w:type="spellStart"/>
      <w:r w:rsidR="00BD0E98" w:rsidRPr="00B57FB3">
        <w:rPr>
          <w:rFonts w:ascii="Arial Narrow" w:hAnsi="Arial Narrow" w:cs="Arial"/>
          <w:bCs/>
          <w:sz w:val="22"/>
          <w:szCs w:val="22"/>
        </w:rPr>
        <w:t>Dukarić</w:t>
      </w:r>
      <w:proofErr w:type="spellEnd"/>
    </w:p>
    <w:p w14:paraId="5A60BD4F" w14:textId="77777777" w:rsidR="008A33DC" w:rsidRPr="00B57FB3" w:rsidRDefault="008A33DC" w:rsidP="008979D8">
      <w:pPr>
        <w:jc w:val="right"/>
        <w:rPr>
          <w:rFonts w:ascii="Arial Narrow" w:hAnsi="Arial Narrow" w:cs="Arial"/>
          <w:bCs/>
          <w:sz w:val="22"/>
          <w:szCs w:val="22"/>
        </w:rPr>
      </w:pPr>
    </w:p>
    <w:p w14:paraId="4C4B6201" w14:textId="77777777" w:rsidR="002E7AA9" w:rsidRPr="00B57FB3" w:rsidRDefault="002E7AA9" w:rsidP="008979D8">
      <w:pPr>
        <w:jc w:val="right"/>
        <w:rPr>
          <w:rFonts w:ascii="Arial Narrow" w:hAnsi="Arial Narrow" w:cs="Arial"/>
          <w:bCs/>
          <w:sz w:val="22"/>
          <w:szCs w:val="22"/>
        </w:rPr>
      </w:pPr>
    </w:p>
    <w:p w14:paraId="0F481F41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292FA91F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22859883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6A8508EF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0B565CCA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26F821BC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74BF0D68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19D487BF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088323CF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13377C42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5D4C9126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2A21B2EF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72EFA8FA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7E0C48B0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0E75C0F8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6F4CB8A9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76C14666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3F7087AD" w14:textId="77777777" w:rsidR="00286F86" w:rsidRDefault="00286F86" w:rsidP="00286F86">
      <w:pPr>
        <w:rPr>
          <w:rFonts w:ascii="Arial Narrow" w:hAnsi="Arial Narrow"/>
          <w:b/>
          <w:sz w:val="22"/>
          <w:szCs w:val="22"/>
        </w:rPr>
      </w:pPr>
    </w:p>
    <w:p w14:paraId="25D09ED0" w14:textId="77777777" w:rsidR="00D545DD" w:rsidRDefault="00D545DD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14D815D2" w14:textId="77777777" w:rsidR="00D545DD" w:rsidRDefault="00D545DD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17E6D6B5" w14:textId="77777777" w:rsidR="00D545DD" w:rsidRDefault="00D545DD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3CFB8C05" w14:textId="77777777" w:rsidR="00D545DD" w:rsidRDefault="00D545DD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3D9359FE" w14:textId="77777777" w:rsidR="002336AA" w:rsidRPr="00B57FB3" w:rsidRDefault="002336AA" w:rsidP="00872C15">
      <w:pPr>
        <w:jc w:val="both"/>
        <w:rPr>
          <w:rFonts w:ascii="Arial Narrow" w:hAnsi="Arial Narrow"/>
          <w:sz w:val="22"/>
          <w:szCs w:val="22"/>
        </w:rPr>
      </w:pPr>
    </w:p>
    <w:sectPr w:rsidR="002336AA" w:rsidRPr="00B57FB3" w:rsidSect="00E76AD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FFF31" w14:textId="77777777" w:rsidR="00396915" w:rsidRDefault="00396915" w:rsidP="008979D8">
      <w:r>
        <w:separator/>
      </w:r>
    </w:p>
  </w:endnote>
  <w:endnote w:type="continuationSeparator" w:id="0">
    <w:p w14:paraId="06974E2F" w14:textId="77777777" w:rsidR="00396915" w:rsidRDefault="00396915" w:rsidP="0089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0440D" w14:textId="77777777" w:rsidR="00396915" w:rsidRDefault="00396915" w:rsidP="008979D8">
      <w:r>
        <w:separator/>
      </w:r>
    </w:p>
  </w:footnote>
  <w:footnote w:type="continuationSeparator" w:id="0">
    <w:p w14:paraId="7F8CE2C4" w14:textId="77777777" w:rsidR="00396915" w:rsidRDefault="00396915" w:rsidP="0089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CBBA6" w14:textId="0517B5C3" w:rsidR="008979D8" w:rsidRDefault="006C5E36">
    <w:pPr>
      <w:pStyle w:val="Zaglavlje"/>
    </w:pPr>
    <w:r>
      <w:tab/>
    </w:r>
  </w:p>
  <w:p w14:paraId="16179896" w14:textId="77777777" w:rsidR="008979D8" w:rsidRDefault="008979D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38"/>
    <w:rsid w:val="00011B3F"/>
    <w:rsid w:val="000133EC"/>
    <w:rsid w:val="00023CC4"/>
    <w:rsid w:val="000B1315"/>
    <w:rsid w:val="000D092A"/>
    <w:rsid w:val="000E0E41"/>
    <w:rsid w:val="00101EA9"/>
    <w:rsid w:val="001026C1"/>
    <w:rsid w:val="001467A5"/>
    <w:rsid w:val="001D5CE4"/>
    <w:rsid w:val="00202593"/>
    <w:rsid w:val="002336AA"/>
    <w:rsid w:val="00240431"/>
    <w:rsid w:val="0026690E"/>
    <w:rsid w:val="00277334"/>
    <w:rsid w:val="00284C72"/>
    <w:rsid w:val="00286F86"/>
    <w:rsid w:val="00296583"/>
    <w:rsid w:val="002B1807"/>
    <w:rsid w:val="002E7AA9"/>
    <w:rsid w:val="002F0022"/>
    <w:rsid w:val="002F784A"/>
    <w:rsid w:val="00321EC3"/>
    <w:rsid w:val="0032609A"/>
    <w:rsid w:val="0034162D"/>
    <w:rsid w:val="00367A77"/>
    <w:rsid w:val="00374B66"/>
    <w:rsid w:val="00396915"/>
    <w:rsid w:val="003A4345"/>
    <w:rsid w:val="003D0F84"/>
    <w:rsid w:val="003F26DE"/>
    <w:rsid w:val="003F6350"/>
    <w:rsid w:val="003F7F56"/>
    <w:rsid w:val="00400B0F"/>
    <w:rsid w:val="004124EE"/>
    <w:rsid w:val="004551D9"/>
    <w:rsid w:val="00462F5D"/>
    <w:rsid w:val="00486B47"/>
    <w:rsid w:val="004A1E5D"/>
    <w:rsid w:val="004C3FC4"/>
    <w:rsid w:val="004D6C9B"/>
    <w:rsid w:val="0057328B"/>
    <w:rsid w:val="005A2AF4"/>
    <w:rsid w:val="005D73EE"/>
    <w:rsid w:val="005F25A3"/>
    <w:rsid w:val="00627080"/>
    <w:rsid w:val="00664D37"/>
    <w:rsid w:val="00674BD6"/>
    <w:rsid w:val="00695219"/>
    <w:rsid w:val="006A19BB"/>
    <w:rsid w:val="006C4AED"/>
    <w:rsid w:val="006C5E36"/>
    <w:rsid w:val="006D6191"/>
    <w:rsid w:val="00746917"/>
    <w:rsid w:val="00746A6C"/>
    <w:rsid w:val="00790FEA"/>
    <w:rsid w:val="00795678"/>
    <w:rsid w:val="00796BD7"/>
    <w:rsid w:val="007972BE"/>
    <w:rsid w:val="007B02C6"/>
    <w:rsid w:val="007E0365"/>
    <w:rsid w:val="00841088"/>
    <w:rsid w:val="0084625C"/>
    <w:rsid w:val="00861FE2"/>
    <w:rsid w:val="00872C15"/>
    <w:rsid w:val="008772BA"/>
    <w:rsid w:val="008979D8"/>
    <w:rsid w:val="008A33DC"/>
    <w:rsid w:val="009802EF"/>
    <w:rsid w:val="009A01B7"/>
    <w:rsid w:val="009B44DE"/>
    <w:rsid w:val="009E749A"/>
    <w:rsid w:val="00A5790F"/>
    <w:rsid w:val="00A719A0"/>
    <w:rsid w:val="00A81138"/>
    <w:rsid w:val="00A83BD1"/>
    <w:rsid w:val="00A94BF9"/>
    <w:rsid w:val="00A96E9B"/>
    <w:rsid w:val="00B53115"/>
    <w:rsid w:val="00B57FB3"/>
    <w:rsid w:val="00B71AC2"/>
    <w:rsid w:val="00BD0E98"/>
    <w:rsid w:val="00BD3677"/>
    <w:rsid w:val="00C03C84"/>
    <w:rsid w:val="00C05DBC"/>
    <w:rsid w:val="00C1484B"/>
    <w:rsid w:val="00C241FF"/>
    <w:rsid w:val="00C358A2"/>
    <w:rsid w:val="00C41E0F"/>
    <w:rsid w:val="00C943D4"/>
    <w:rsid w:val="00CD6CE0"/>
    <w:rsid w:val="00D0082A"/>
    <w:rsid w:val="00D02922"/>
    <w:rsid w:val="00D22349"/>
    <w:rsid w:val="00D545DD"/>
    <w:rsid w:val="00D827AC"/>
    <w:rsid w:val="00D93D13"/>
    <w:rsid w:val="00DB1240"/>
    <w:rsid w:val="00DD74B1"/>
    <w:rsid w:val="00DE188F"/>
    <w:rsid w:val="00DE47D0"/>
    <w:rsid w:val="00DE7C11"/>
    <w:rsid w:val="00E24F05"/>
    <w:rsid w:val="00E45A3C"/>
    <w:rsid w:val="00EA2E02"/>
    <w:rsid w:val="00EA76AA"/>
    <w:rsid w:val="00EC6597"/>
    <w:rsid w:val="00ED3506"/>
    <w:rsid w:val="00F2272B"/>
    <w:rsid w:val="00F47B51"/>
    <w:rsid w:val="00F60701"/>
    <w:rsid w:val="00F67806"/>
    <w:rsid w:val="00F930C8"/>
    <w:rsid w:val="00FA3232"/>
    <w:rsid w:val="00FD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5DC4"/>
  <w15:docId w15:val="{563935FD-8C2A-45C6-98DF-C24E62F6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2C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72C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A81138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72C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72C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872C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72C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72C1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81138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A81138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A81138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A81138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A8113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A81138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1138"/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61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19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72C1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72C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872C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872C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872C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872C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2C15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979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79D8"/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86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7</cp:revision>
  <cp:lastPrinted>2024-12-18T13:38:00Z</cp:lastPrinted>
  <dcterms:created xsi:type="dcterms:W3CDTF">2024-12-10T12:57:00Z</dcterms:created>
  <dcterms:modified xsi:type="dcterms:W3CDTF">2024-12-18T13:38:00Z</dcterms:modified>
</cp:coreProperties>
</file>