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89866C" w14:textId="77777777" w:rsidR="009D5680" w:rsidRDefault="00972584">
      <w:r>
        <w:rPr>
          <w:noProof/>
          <w:lang w:eastAsia="hr-HR"/>
        </w:rPr>
        <w:drawing>
          <wp:anchor distT="0" distB="0" distL="114300" distR="114300" simplePos="0" relativeHeight="251658240" behindDoc="0" locked="0" layoutInCell="1" allowOverlap="1" wp14:anchorId="5CFDB39D" wp14:editId="2AA66DB2">
            <wp:simplePos x="0" y="0"/>
            <wp:positionH relativeFrom="column">
              <wp:posOffset>643890</wp:posOffset>
            </wp:positionH>
            <wp:positionV relativeFrom="paragraph">
              <wp:posOffset>-394758</wp:posOffset>
            </wp:positionV>
            <wp:extent cx="492981" cy="657308"/>
            <wp:effectExtent l="0" t="0" r="2540" b="0"/>
            <wp:wrapNone/>
            <wp:docPr id="1" name="Slika 1" descr="grb-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grb-rh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981" cy="657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F6CD1A" w14:textId="640A9F92" w:rsidR="00972584" w:rsidRPr="00B96DAB" w:rsidRDefault="00972584" w:rsidP="00BE4AFF">
      <w:pPr>
        <w:pStyle w:val="Naslov3"/>
        <w:ind w:right="10885"/>
        <w:rPr>
          <w:rFonts w:cs="Tahoma"/>
          <w:sz w:val="20"/>
        </w:rPr>
      </w:pPr>
      <w:r w:rsidRPr="00B96DAB">
        <w:rPr>
          <w:rFonts w:cs="Tahoma"/>
          <w:sz w:val="20"/>
        </w:rPr>
        <w:t>REPUBLIKA HRVATSKA</w:t>
      </w:r>
    </w:p>
    <w:p w14:paraId="4C273F8D" w14:textId="069885D3" w:rsidR="00972584" w:rsidRPr="00B96DAB" w:rsidRDefault="00972584" w:rsidP="00BE4AFF">
      <w:pPr>
        <w:spacing w:after="0" w:line="240" w:lineRule="auto"/>
        <w:ind w:right="10885"/>
        <w:jc w:val="center"/>
        <w:rPr>
          <w:rFonts w:ascii="Tahoma" w:hAnsi="Tahoma" w:cs="Tahoma"/>
          <w:sz w:val="20"/>
          <w:szCs w:val="20"/>
        </w:rPr>
      </w:pPr>
      <w:r w:rsidRPr="00B96DAB">
        <w:rPr>
          <w:rFonts w:ascii="Tahoma" w:hAnsi="Tahoma" w:cs="Tahoma"/>
          <w:sz w:val="20"/>
          <w:szCs w:val="20"/>
        </w:rPr>
        <w:t>VARAŽDINSKA ŽUPANIJA</w:t>
      </w:r>
    </w:p>
    <w:p w14:paraId="18BDEDA6" w14:textId="2452A4B4" w:rsidR="00972584" w:rsidRPr="00B96DAB" w:rsidRDefault="00972584" w:rsidP="00BE4AFF">
      <w:pPr>
        <w:spacing w:after="0" w:line="240" w:lineRule="auto"/>
        <w:ind w:left="-56" w:right="10885"/>
        <w:jc w:val="center"/>
        <w:rPr>
          <w:rFonts w:ascii="Tahoma" w:hAnsi="Tahoma" w:cs="Tahoma"/>
          <w:b/>
          <w:sz w:val="20"/>
          <w:szCs w:val="20"/>
        </w:rPr>
      </w:pPr>
      <w:r w:rsidRPr="00B96DAB">
        <w:rPr>
          <w:rFonts w:ascii="Tahoma" w:hAnsi="Tahoma" w:cs="Tahoma"/>
          <w:b/>
          <w:sz w:val="20"/>
          <w:szCs w:val="20"/>
        </w:rPr>
        <w:t>GRAD LEPOGLAVA</w:t>
      </w:r>
    </w:p>
    <w:p w14:paraId="4952C296" w14:textId="77777777" w:rsidR="00972584" w:rsidRPr="00B96DAB" w:rsidRDefault="00972584" w:rsidP="00BE4AFF">
      <w:pPr>
        <w:spacing w:after="0" w:line="240" w:lineRule="auto"/>
        <w:ind w:left="-56" w:right="10885"/>
        <w:jc w:val="center"/>
        <w:rPr>
          <w:rFonts w:ascii="Tahoma" w:hAnsi="Tahoma" w:cs="Tahoma"/>
          <w:bCs/>
          <w:sz w:val="20"/>
          <w:szCs w:val="20"/>
        </w:rPr>
      </w:pPr>
      <w:r w:rsidRPr="00B96DAB">
        <w:rPr>
          <w:rFonts w:ascii="Tahoma" w:hAnsi="Tahoma" w:cs="Tahoma"/>
          <w:bCs/>
          <w:sz w:val="20"/>
          <w:szCs w:val="20"/>
        </w:rPr>
        <w:t>Antuna Mihanovića 12</w:t>
      </w:r>
    </w:p>
    <w:p w14:paraId="06FFC0B3" w14:textId="77777777" w:rsidR="00972584" w:rsidRPr="00B96DAB" w:rsidRDefault="00972584" w:rsidP="00BE4AFF">
      <w:pPr>
        <w:spacing w:after="0" w:line="240" w:lineRule="auto"/>
        <w:ind w:left="-56" w:right="10885"/>
        <w:jc w:val="center"/>
        <w:rPr>
          <w:rFonts w:ascii="Tahoma" w:hAnsi="Tahoma" w:cs="Tahoma"/>
          <w:bCs/>
          <w:sz w:val="20"/>
          <w:szCs w:val="20"/>
        </w:rPr>
      </w:pPr>
      <w:r w:rsidRPr="00B96DAB">
        <w:rPr>
          <w:rFonts w:ascii="Tahoma" w:hAnsi="Tahoma" w:cs="Tahoma"/>
          <w:bCs/>
          <w:sz w:val="20"/>
          <w:szCs w:val="20"/>
        </w:rPr>
        <w:t>42250 Lepoglava</w:t>
      </w:r>
    </w:p>
    <w:p w14:paraId="1C903C17" w14:textId="118557F3" w:rsidR="00972584" w:rsidRPr="00B96DAB" w:rsidRDefault="00972584" w:rsidP="00BE4AFF">
      <w:pPr>
        <w:spacing w:after="0" w:line="240" w:lineRule="auto"/>
        <w:ind w:left="-56" w:right="10885"/>
        <w:jc w:val="center"/>
        <w:rPr>
          <w:rFonts w:ascii="Tahoma" w:hAnsi="Tahoma" w:cs="Tahoma"/>
          <w:bCs/>
          <w:sz w:val="20"/>
          <w:szCs w:val="20"/>
        </w:rPr>
      </w:pPr>
      <w:r w:rsidRPr="00B96DAB">
        <w:rPr>
          <w:rFonts w:ascii="Tahoma" w:hAnsi="Tahoma" w:cs="Tahoma"/>
          <w:bCs/>
          <w:sz w:val="20"/>
          <w:szCs w:val="20"/>
        </w:rPr>
        <w:t>tel. 042 770 411, fax 042 770 419</w:t>
      </w:r>
    </w:p>
    <w:p w14:paraId="49DD649A" w14:textId="43D42EBD" w:rsidR="0005367C" w:rsidRPr="0005367C" w:rsidRDefault="00972584" w:rsidP="007816D4">
      <w:pPr>
        <w:spacing w:after="0" w:line="240" w:lineRule="auto"/>
        <w:ind w:left="-56" w:right="10885"/>
        <w:jc w:val="center"/>
        <w:rPr>
          <w:rFonts w:ascii="Arial Narrow" w:hAnsi="Arial Narrow"/>
          <w:b/>
        </w:rPr>
      </w:pPr>
      <w:r w:rsidRPr="00B96DAB">
        <w:rPr>
          <w:rFonts w:ascii="Tahoma" w:hAnsi="Tahoma" w:cs="Tahoma"/>
          <w:bCs/>
          <w:sz w:val="20"/>
          <w:szCs w:val="20"/>
        </w:rPr>
        <w:t xml:space="preserve">email: </w:t>
      </w:r>
      <w:hyperlink r:id="rId6" w:history="1">
        <w:r w:rsidRPr="00B96DAB">
          <w:rPr>
            <w:rStyle w:val="Hiperveza"/>
            <w:rFonts w:ascii="Tahoma" w:hAnsi="Tahoma" w:cs="Tahoma"/>
            <w:bCs/>
            <w:sz w:val="20"/>
            <w:szCs w:val="20"/>
          </w:rPr>
          <w:t>lepoglava@lepoglava.hr</w:t>
        </w:r>
      </w:hyperlink>
    </w:p>
    <w:p w14:paraId="4D695112" w14:textId="77777777" w:rsidR="0005367C" w:rsidRPr="0005367C" w:rsidRDefault="0005367C" w:rsidP="0005367C">
      <w:pPr>
        <w:shd w:val="clear" w:color="auto" w:fill="FFFFFF"/>
        <w:spacing w:after="0" w:line="0" w:lineRule="atLeast"/>
        <w:jc w:val="center"/>
        <w:rPr>
          <w:rFonts w:ascii="Arial Narrow" w:hAnsi="Arial Narrow"/>
          <w:b/>
        </w:rPr>
      </w:pPr>
      <w:r w:rsidRPr="0005367C">
        <w:rPr>
          <w:rFonts w:ascii="Arial Narrow" w:hAnsi="Arial Narrow"/>
          <w:b/>
        </w:rPr>
        <w:t>J A V N I  P O Z I V</w:t>
      </w:r>
    </w:p>
    <w:p w14:paraId="5C580A4F" w14:textId="77777777" w:rsidR="0005367C" w:rsidRPr="0005367C" w:rsidRDefault="0005367C" w:rsidP="0005367C">
      <w:pPr>
        <w:shd w:val="clear" w:color="auto" w:fill="FFFFFF"/>
        <w:spacing w:after="0" w:line="0" w:lineRule="atLeast"/>
        <w:jc w:val="center"/>
        <w:rPr>
          <w:rFonts w:ascii="Arial Narrow" w:hAnsi="Arial Narrow"/>
          <w:b/>
        </w:rPr>
      </w:pPr>
      <w:r w:rsidRPr="0005367C">
        <w:rPr>
          <w:rFonts w:ascii="Arial Narrow" w:hAnsi="Arial Narrow"/>
          <w:b/>
        </w:rPr>
        <w:t>za savjetovanje sa zainteresiranom javnošću u postupku donošenja</w:t>
      </w:r>
    </w:p>
    <w:p w14:paraId="7D173821" w14:textId="721D1A39" w:rsidR="007816D4" w:rsidRDefault="007816D4" w:rsidP="007816D4">
      <w:pPr>
        <w:jc w:val="center"/>
        <w:rPr>
          <w:rFonts w:ascii="Arial Narrow" w:hAnsi="Arial Narrow"/>
          <w:b/>
        </w:rPr>
      </w:pPr>
      <w:r w:rsidRPr="003A1D5B">
        <w:rPr>
          <w:rFonts w:ascii="Arial Narrow" w:hAnsi="Arial Narrow"/>
          <w:b/>
        </w:rPr>
        <w:t>PROCJEN</w:t>
      </w:r>
      <w:r w:rsidR="00355636">
        <w:rPr>
          <w:rFonts w:ascii="Arial Narrow" w:hAnsi="Arial Narrow"/>
          <w:b/>
        </w:rPr>
        <w:t>E</w:t>
      </w:r>
      <w:r w:rsidRPr="003A1D5B">
        <w:rPr>
          <w:rFonts w:ascii="Arial Narrow" w:hAnsi="Arial Narrow"/>
          <w:b/>
        </w:rPr>
        <w:t xml:space="preserve"> RIZIKA OD VELIKIH NESREĆA</w:t>
      </w:r>
      <w:r>
        <w:rPr>
          <w:rFonts w:ascii="Arial Narrow" w:hAnsi="Arial Narrow"/>
          <w:b/>
        </w:rPr>
        <w:t xml:space="preserve"> </w:t>
      </w:r>
      <w:r w:rsidRPr="003A1D5B">
        <w:rPr>
          <w:rFonts w:ascii="Arial Narrow" w:hAnsi="Arial Narrow"/>
          <w:b/>
        </w:rPr>
        <w:t>ZA PODRUČJE GRADA LEPOGLAVE</w:t>
      </w:r>
      <w:r w:rsidR="00355636">
        <w:rPr>
          <w:rFonts w:ascii="Arial Narrow" w:hAnsi="Arial Narrow"/>
          <w:b/>
        </w:rPr>
        <w:t xml:space="preserve"> </w:t>
      </w:r>
      <w:r w:rsidR="00193C8B">
        <w:rPr>
          <w:rFonts w:ascii="Arial Narrow" w:hAnsi="Arial Narrow"/>
          <w:b/>
        </w:rPr>
        <w:t>– Revizija II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248"/>
        <w:gridCol w:w="9746"/>
      </w:tblGrid>
      <w:tr w:rsidR="00972584" w14:paraId="07AC2DA9" w14:textId="77777777" w:rsidTr="00CA4964">
        <w:trPr>
          <w:trHeight w:val="318"/>
        </w:trPr>
        <w:tc>
          <w:tcPr>
            <w:tcW w:w="4248" w:type="dxa"/>
          </w:tcPr>
          <w:p w14:paraId="47F36560" w14:textId="77777777" w:rsidR="00972584" w:rsidRDefault="00972584" w:rsidP="00213D6A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Nacrt akt</w:t>
            </w:r>
            <w:r w:rsidR="00213D6A">
              <w:rPr>
                <w:rFonts w:ascii="Arial Narrow" w:hAnsi="Arial Narrow"/>
                <w:b/>
              </w:rPr>
              <w:t>a</w:t>
            </w:r>
            <w:r>
              <w:rPr>
                <w:rFonts w:ascii="Arial Narrow" w:hAnsi="Arial Narrow"/>
                <w:b/>
              </w:rPr>
              <w:t xml:space="preserve"> na koji se savjetovanje odnosi: </w:t>
            </w:r>
          </w:p>
        </w:tc>
        <w:tc>
          <w:tcPr>
            <w:tcW w:w="9746" w:type="dxa"/>
          </w:tcPr>
          <w:p w14:paraId="5A1844DF" w14:textId="7ADC150B" w:rsidR="007816D4" w:rsidRDefault="007816D4" w:rsidP="007816D4">
            <w:pPr>
              <w:rPr>
                <w:rFonts w:ascii="Arial Narrow" w:hAnsi="Arial Narrow"/>
                <w:b/>
              </w:rPr>
            </w:pPr>
            <w:r w:rsidRPr="003A1D5B">
              <w:rPr>
                <w:rFonts w:ascii="Arial Narrow" w:hAnsi="Arial Narrow"/>
                <w:b/>
              </w:rPr>
              <w:t>PROCJEN</w:t>
            </w:r>
            <w:r>
              <w:rPr>
                <w:rFonts w:ascii="Arial Narrow" w:hAnsi="Arial Narrow"/>
                <w:b/>
              </w:rPr>
              <w:t>A</w:t>
            </w:r>
            <w:r w:rsidRPr="003A1D5B">
              <w:rPr>
                <w:rFonts w:ascii="Arial Narrow" w:hAnsi="Arial Narrow"/>
                <w:b/>
              </w:rPr>
              <w:t xml:space="preserve"> RIZIKA OD VELIKIH NESREĆA</w:t>
            </w:r>
            <w:r>
              <w:rPr>
                <w:rFonts w:ascii="Arial Narrow" w:hAnsi="Arial Narrow"/>
                <w:b/>
              </w:rPr>
              <w:t xml:space="preserve"> </w:t>
            </w:r>
            <w:r w:rsidRPr="003A1D5B">
              <w:rPr>
                <w:rFonts w:ascii="Arial Narrow" w:hAnsi="Arial Narrow"/>
                <w:b/>
              </w:rPr>
              <w:t>ZA PODRUČJE GRADA LEPOGLAVE</w:t>
            </w:r>
            <w:r w:rsidR="00355636">
              <w:rPr>
                <w:rFonts w:ascii="Arial Narrow" w:hAnsi="Arial Narrow"/>
                <w:b/>
              </w:rPr>
              <w:t xml:space="preserve"> </w:t>
            </w:r>
            <w:r w:rsidR="00193C8B">
              <w:rPr>
                <w:rFonts w:ascii="Arial Narrow" w:hAnsi="Arial Narrow"/>
                <w:b/>
              </w:rPr>
              <w:t>– Revizija II</w:t>
            </w:r>
          </w:p>
          <w:p w14:paraId="5F84E0AD" w14:textId="3F0FBED2" w:rsidR="001866EC" w:rsidRPr="00864B1D" w:rsidRDefault="001866EC" w:rsidP="0072621F">
            <w:pPr>
              <w:shd w:val="clear" w:color="auto" w:fill="FFFFFF"/>
              <w:spacing w:line="0" w:lineRule="atLeast"/>
              <w:jc w:val="both"/>
              <w:rPr>
                <w:rFonts w:ascii="Arial Narrow" w:eastAsia="Times New Roman" w:hAnsi="Arial Narrow" w:cs="Arial"/>
                <w:b/>
                <w:bCs/>
                <w:spacing w:val="1"/>
                <w:lang w:eastAsia="hr-HR"/>
              </w:rPr>
            </w:pPr>
          </w:p>
        </w:tc>
      </w:tr>
      <w:tr w:rsidR="00972584" w14:paraId="3DE4B172" w14:textId="77777777" w:rsidTr="00CA4964">
        <w:trPr>
          <w:trHeight w:val="1109"/>
        </w:trPr>
        <w:tc>
          <w:tcPr>
            <w:tcW w:w="4248" w:type="dxa"/>
          </w:tcPr>
          <w:p w14:paraId="73605394" w14:textId="77777777" w:rsidR="00972584" w:rsidRDefault="00972584" w:rsidP="00972584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Razlozi donošenja akta:</w:t>
            </w:r>
          </w:p>
        </w:tc>
        <w:tc>
          <w:tcPr>
            <w:tcW w:w="9746" w:type="dxa"/>
          </w:tcPr>
          <w:p w14:paraId="47EF5646" w14:textId="77777777" w:rsidR="007816D4" w:rsidRPr="003A1D5B" w:rsidRDefault="007816D4" w:rsidP="007816D4">
            <w:pPr>
              <w:jc w:val="both"/>
              <w:rPr>
                <w:rFonts w:ascii="Arial Narrow" w:hAnsi="Arial Narrow"/>
              </w:rPr>
            </w:pPr>
            <w:r w:rsidRPr="003A1D5B">
              <w:rPr>
                <w:rFonts w:ascii="Arial Narrow" w:hAnsi="Arial Narrow"/>
              </w:rPr>
              <w:t>Sukladno</w:t>
            </w:r>
            <w:r>
              <w:rPr>
                <w:rFonts w:ascii="Arial Narrow" w:hAnsi="Arial Narrow"/>
              </w:rPr>
              <w:t xml:space="preserve"> odredbi</w:t>
            </w:r>
            <w:r w:rsidRPr="003A1D5B">
              <w:rPr>
                <w:rFonts w:ascii="Arial Narrow" w:hAnsi="Arial Narrow"/>
              </w:rPr>
              <w:t xml:space="preserve"> člank</w:t>
            </w:r>
            <w:r>
              <w:rPr>
                <w:rFonts w:ascii="Arial Narrow" w:hAnsi="Arial Narrow"/>
              </w:rPr>
              <w:t>a</w:t>
            </w:r>
            <w:r w:rsidRPr="003A1D5B">
              <w:rPr>
                <w:rFonts w:ascii="Arial Narrow" w:hAnsi="Arial Narrow"/>
              </w:rPr>
              <w:t xml:space="preserve"> 17. stavka 3. alineje 7. Zakona o sustavu civilne zaštite (</w:t>
            </w:r>
            <w:r>
              <w:rPr>
                <w:rFonts w:ascii="Arial Narrow" w:hAnsi="Arial Narrow"/>
              </w:rPr>
              <w:t>„</w:t>
            </w:r>
            <w:r w:rsidRPr="003A1D5B">
              <w:rPr>
                <w:rFonts w:ascii="Arial Narrow" w:hAnsi="Arial Narrow"/>
              </w:rPr>
              <w:t>Narodne novine</w:t>
            </w:r>
            <w:r>
              <w:rPr>
                <w:rFonts w:ascii="Arial Narrow" w:hAnsi="Arial Narrow"/>
              </w:rPr>
              <w:t>“</w:t>
            </w:r>
            <w:r w:rsidRPr="003A1D5B">
              <w:rPr>
                <w:rFonts w:ascii="Arial Narrow" w:hAnsi="Arial Narrow"/>
              </w:rPr>
              <w:t xml:space="preserve"> broj 82/15, 118/18, 31/20, 20/21 i 114/22) izvršno tijelo jedinice lokalne samouprave izrađuje i dostavlja predstavničkom tijelu prijedlog procjene rizika od velikih nesreća, te temeljem </w:t>
            </w:r>
            <w:r>
              <w:rPr>
                <w:rFonts w:ascii="Arial Narrow" w:hAnsi="Arial Narrow"/>
              </w:rPr>
              <w:t xml:space="preserve">odredbe </w:t>
            </w:r>
            <w:r w:rsidRPr="003A1D5B">
              <w:rPr>
                <w:rFonts w:ascii="Arial Narrow" w:hAnsi="Arial Narrow"/>
              </w:rPr>
              <w:t>članka 17. stavka 1. alineje 2. predstavničko tijelo donosi procjenu rizika od velikih nesreća. Temeljem članka 8. stavka 2. Pravilnika o smjernicama za izradu procjena rizika od katastrofa i velikih nesreća za područje Republike Hrvatske i jedinica lokalne i područne (regionalne) samouprave (</w:t>
            </w:r>
            <w:r>
              <w:rPr>
                <w:rFonts w:ascii="Arial Narrow" w:hAnsi="Arial Narrow"/>
              </w:rPr>
              <w:t>„</w:t>
            </w:r>
            <w:r w:rsidRPr="003A1D5B">
              <w:rPr>
                <w:rFonts w:ascii="Arial Narrow" w:hAnsi="Arial Narrow"/>
              </w:rPr>
              <w:t>Narodne novine</w:t>
            </w:r>
            <w:r>
              <w:rPr>
                <w:rFonts w:ascii="Arial Narrow" w:hAnsi="Arial Narrow"/>
              </w:rPr>
              <w:t>“</w:t>
            </w:r>
            <w:r w:rsidRPr="003A1D5B">
              <w:rPr>
                <w:rFonts w:ascii="Arial Narrow" w:hAnsi="Arial Narrow"/>
              </w:rPr>
              <w:t xml:space="preserve"> broj 65/16) Procjene rizika od velikih nesreća za područja jedinica lokalne samouprave izrađuju se najmanje jednom u tri godine, a zadnja Procjena rizika od velikih nesreća za Grad </w:t>
            </w:r>
            <w:r>
              <w:rPr>
                <w:rFonts w:ascii="Arial Narrow" w:hAnsi="Arial Narrow"/>
              </w:rPr>
              <w:t>Lepoglavu</w:t>
            </w:r>
            <w:r w:rsidRPr="003A1D5B">
              <w:rPr>
                <w:rFonts w:ascii="Arial Narrow" w:hAnsi="Arial Narrow"/>
              </w:rPr>
              <w:t xml:space="preserve"> donesena je 2021. godine.</w:t>
            </w:r>
          </w:p>
          <w:p w14:paraId="508CA00B" w14:textId="2F8B09D9" w:rsidR="002511ED" w:rsidRPr="00B12482" w:rsidRDefault="007816D4" w:rsidP="00BE4AFF">
            <w:pPr>
              <w:spacing w:before="80" w:after="80"/>
              <w:jc w:val="both"/>
              <w:rPr>
                <w:rFonts w:ascii="Arial Narrow" w:hAnsi="Arial Narrow"/>
              </w:rPr>
            </w:pPr>
            <w:r w:rsidRPr="007816D4">
              <w:rPr>
                <w:rFonts w:ascii="Arial Narrow" w:hAnsi="Arial Narrow"/>
              </w:rPr>
              <w:t>Postupak izrade Procjene rizika u skladu je s HRN ISO 31000:2012 – Upravljanje rizicima – Načela i smjernice, što služi za potrebe unaprjeđenja razumijevanja rizika na svim razinama, osobito u smislu povećanja efikasnosti već uspostavljenih mjera za smanjenje rizika od velikih nesreća kao i definiranje novih.</w:t>
            </w:r>
          </w:p>
        </w:tc>
      </w:tr>
      <w:tr w:rsidR="00972584" w14:paraId="74F32A6D" w14:textId="77777777" w:rsidTr="00CA4964">
        <w:trPr>
          <w:trHeight w:val="823"/>
        </w:trPr>
        <w:tc>
          <w:tcPr>
            <w:tcW w:w="4248" w:type="dxa"/>
          </w:tcPr>
          <w:p w14:paraId="09782807" w14:textId="77777777" w:rsidR="00972584" w:rsidRDefault="00972584" w:rsidP="00972584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Ciljevi provođenja savjetovanja:</w:t>
            </w:r>
          </w:p>
        </w:tc>
        <w:tc>
          <w:tcPr>
            <w:tcW w:w="9746" w:type="dxa"/>
          </w:tcPr>
          <w:p w14:paraId="61A43E34" w14:textId="3F5785F1" w:rsidR="00972584" w:rsidRPr="00972584" w:rsidRDefault="007816D4" w:rsidP="00BE4AFF">
            <w:pPr>
              <w:spacing w:before="80" w:after="80"/>
              <w:jc w:val="both"/>
              <w:rPr>
                <w:rFonts w:ascii="Arial Narrow" w:hAnsi="Arial Narrow"/>
              </w:rPr>
            </w:pPr>
            <w:r w:rsidRPr="007816D4">
              <w:rPr>
                <w:rFonts w:ascii="Arial Narrow" w:hAnsi="Arial Narrow"/>
              </w:rPr>
              <w:t>Upoznavanje javnosti s nacrtom Procjene rizika te prikupljanje mišljenja, primjedbi, prijedloga i eventualno prihvaćanje zakonitih i stručno utemeljenih mišljenja, primjedbi i prijedloga.</w:t>
            </w:r>
          </w:p>
        </w:tc>
      </w:tr>
      <w:tr w:rsidR="00972584" w14:paraId="0744A830" w14:textId="77777777" w:rsidTr="00CA4964">
        <w:tc>
          <w:tcPr>
            <w:tcW w:w="4248" w:type="dxa"/>
          </w:tcPr>
          <w:p w14:paraId="2FAF9A20" w14:textId="77777777" w:rsidR="00972584" w:rsidRDefault="00972584" w:rsidP="001866EC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Rok za završetak savjetovanja (za dostavu primjedbi </w:t>
            </w:r>
            <w:r w:rsidR="001866EC">
              <w:rPr>
                <w:rFonts w:ascii="Arial Narrow" w:hAnsi="Arial Narrow"/>
                <w:b/>
              </w:rPr>
              <w:t xml:space="preserve">i </w:t>
            </w:r>
            <w:r>
              <w:rPr>
                <w:rFonts w:ascii="Arial Narrow" w:hAnsi="Arial Narrow"/>
                <w:b/>
              </w:rPr>
              <w:t>prijedlog</w:t>
            </w:r>
            <w:r w:rsidR="001866EC">
              <w:rPr>
                <w:rFonts w:ascii="Arial Narrow" w:hAnsi="Arial Narrow"/>
                <w:b/>
              </w:rPr>
              <w:t>a</w:t>
            </w:r>
            <w:r>
              <w:rPr>
                <w:rFonts w:ascii="Arial Narrow" w:hAnsi="Arial Narrow"/>
                <w:b/>
              </w:rPr>
              <w:t xml:space="preserve"> i komentara):</w:t>
            </w:r>
          </w:p>
        </w:tc>
        <w:tc>
          <w:tcPr>
            <w:tcW w:w="9746" w:type="dxa"/>
          </w:tcPr>
          <w:p w14:paraId="7EB88148" w14:textId="4636771A" w:rsidR="00972584" w:rsidRDefault="00972584" w:rsidP="00BE4AFF">
            <w:pPr>
              <w:spacing w:before="80" w:after="80"/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Zaključno do</w:t>
            </w:r>
            <w:r w:rsidR="000E2E60">
              <w:rPr>
                <w:rFonts w:ascii="Arial Narrow" w:hAnsi="Arial Narrow"/>
                <w:b/>
              </w:rPr>
              <w:t xml:space="preserve"> </w:t>
            </w:r>
            <w:r w:rsidR="007816D4">
              <w:rPr>
                <w:rFonts w:ascii="Arial Narrow" w:hAnsi="Arial Narrow"/>
                <w:b/>
              </w:rPr>
              <w:t>1</w:t>
            </w:r>
            <w:r w:rsidR="00355636">
              <w:rPr>
                <w:rFonts w:ascii="Arial Narrow" w:hAnsi="Arial Narrow"/>
                <w:b/>
              </w:rPr>
              <w:t>7</w:t>
            </w:r>
            <w:r w:rsidR="007816D4">
              <w:rPr>
                <w:rFonts w:ascii="Arial Narrow" w:hAnsi="Arial Narrow"/>
                <w:b/>
              </w:rPr>
              <w:t>.07.2024. godine do 10.00 sati</w:t>
            </w:r>
            <w:r w:rsidR="00535795">
              <w:rPr>
                <w:rFonts w:ascii="Arial Narrow" w:hAnsi="Arial Narrow"/>
                <w:b/>
              </w:rPr>
              <w:t xml:space="preserve"> </w:t>
            </w:r>
          </w:p>
        </w:tc>
      </w:tr>
      <w:tr w:rsidR="00972584" w14:paraId="5EECA68F" w14:textId="77777777" w:rsidTr="00CA4964">
        <w:tc>
          <w:tcPr>
            <w:tcW w:w="4248" w:type="dxa"/>
          </w:tcPr>
          <w:p w14:paraId="6FF4E4D2" w14:textId="77777777" w:rsidR="00972584" w:rsidRDefault="00972584" w:rsidP="00972584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Način podnošenja primjedbi, prijedloga i komentara:</w:t>
            </w:r>
          </w:p>
        </w:tc>
        <w:tc>
          <w:tcPr>
            <w:tcW w:w="9746" w:type="dxa"/>
          </w:tcPr>
          <w:p w14:paraId="20FB2CA6" w14:textId="77777777" w:rsidR="00972584" w:rsidRPr="00972584" w:rsidRDefault="00972584" w:rsidP="00BE4AFF">
            <w:pPr>
              <w:spacing w:before="80" w:after="8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Cjelovitim p</w:t>
            </w:r>
            <w:r w:rsidRPr="00972584">
              <w:rPr>
                <w:rFonts w:ascii="Arial Narrow" w:hAnsi="Arial Narrow"/>
              </w:rPr>
              <w:t xml:space="preserve">opunjavanjem obrasca za sudjelovanje u savjetovanju sa zainteresiranom javnošću (objavljen uz poziv na savjetovanje na Internet stranicama grada Lepoglave </w:t>
            </w:r>
            <w:hyperlink r:id="rId7" w:history="1">
              <w:r w:rsidRPr="00972584">
                <w:rPr>
                  <w:rStyle w:val="Hiperveza"/>
                  <w:rFonts w:ascii="Arial Narrow" w:hAnsi="Arial Narrow"/>
                </w:rPr>
                <w:t>www.lepoglava.hr</w:t>
              </w:r>
            </w:hyperlink>
            <w:r w:rsidRPr="00972584">
              <w:rPr>
                <w:rFonts w:ascii="Arial Narrow" w:hAnsi="Arial Narrow"/>
              </w:rPr>
              <w:t xml:space="preserve"> )</w:t>
            </w:r>
          </w:p>
        </w:tc>
      </w:tr>
      <w:tr w:rsidR="00972584" w14:paraId="494EE927" w14:textId="77777777" w:rsidTr="00CA4964">
        <w:tc>
          <w:tcPr>
            <w:tcW w:w="4248" w:type="dxa"/>
          </w:tcPr>
          <w:p w14:paraId="37BE9604" w14:textId="77777777" w:rsidR="00972584" w:rsidRDefault="00972584" w:rsidP="00972584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Adresa za podnošenje prijedloga:</w:t>
            </w:r>
          </w:p>
        </w:tc>
        <w:tc>
          <w:tcPr>
            <w:tcW w:w="9746" w:type="dxa"/>
          </w:tcPr>
          <w:p w14:paraId="258DD7AB" w14:textId="652DBFBD" w:rsidR="00972584" w:rsidRPr="001866EC" w:rsidRDefault="00BE4AFF" w:rsidP="00BE4AFF">
            <w:pPr>
              <w:spacing w:before="80" w:after="8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</w:t>
            </w:r>
            <w:r w:rsidR="001866EC" w:rsidRPr="001866EC">
              <w:rPr>
                <w:rFonts w:ascii="Arial Narrow" w:hAnsi="Arial Narrow"/>
              </w:rPr>
              <w:t xml:space="preserve">oštom: </w:t>
            </w:r>
            <w:r w:rsidR="00972584" w:rsidRPr="001866EC">
              <w:rPr>
                <w:rFonts w:ascii="Arial Narrow" w:hAnsi="Arial Narrow"/>
              </w:rPr>
              <w:t>Grad Lepoglava, Antuna Mihanovića 12, 42250 Lepoglava, s naznakom „</w:t>
            </w:r>
            <w:r w:rsidR="001866EC" w:rsidRPr="001866EC">
              <w:rPr>
                <w:rFonts w:ascii="Arial Narrow" w:hAnsi="Arial Narrow"/>
              </w:rPr>
              <w:t xml:space="preserve">Savjetovanja sa zainteresiranom javnošću </w:t>
            </w:r>
            <w:r w:rsidR="00963C74">
              <w:rPr>
                <w:rFonts w:ascii="Arial Narrow" w:hAnsi="Arial Narrow"/>
              </w:rPr>
              <w:t xml:space="preserve">– </w:t>
            </w:r>
            <w:r w:rsidR="007816D4" w:rsidRPr="007816D4">
              <w:rPr>
                <w:rFonts w:ascii="Arial Narrow" w:hAnsi="Arial Narrow"/>
              </w:rPr>
              <w:t>PROCJENA RIZIKA OD VELIKIH NESREĆA ZA PODRUČJE GRADA LEPOGLAVE</w:t>
            </w:r>
            <w:r w:rsidR="00355636">
              <w:rPr>
                <w:rFonts w:ascii="Arial Narrow" w:hAnsi="Arial Narrow"/>
              </w:rPr>
              <w:t xml:space="preserve"> – Revizija II</w:t>
            </w:r>
            <w:r w:rsidR="001866EC" w:rsidRPr="001866EC">
              <w:rPr>
                <w:rFonts w:ascii="Arial Narrow" w:hAnsi="Arial Narrow"/>
              </w:rPr>
              <w:t>“</w:t>
            </w:r>
          </w:p>
          <w:p w14:paraId="4D978826" w14:textId="2159522F" w:rsidR="001866EC" w:rsidRPr="00E73F6F" w:rsidRDefault="00BE4AFF" w:rsidP="00BE4AFF">
            <w:pPr>
              <w:spacing w:before="80" w:after="8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Elektronskim putem</w:t>
            </w:r>
            <w:r w:rsidR="001866EC" w:rsidRPr="001866EC">
              <w:rPr>
                <w:rFonts w:ascii="Arial Narrow" w:hAnsi="Arial Narrow"/>
              </w:rPr>
              <w:t>:</w:t>
            </w:r>
            <w:r w:rsidR="00E73F6F">
              <w:rPr>
                <w:rFonts w:ascii="Arial Narrow" w:hAnsi="Arial Narrow"/>
              </w:rPr>
              <w:t xml:space="preserve"> </w:t>
            </w:r>
            <w:hyperlink r:id="rId8" w:history="1">
              <w:r w:rsidR="00B96DAB" w:rsidRPr="00CC635D">
                <w:rPr>
                  <w:rStyle w:val="Hiperveza"/>
                  <w:rFonts w:ascii="Arial Narrow" w:hAnsi="Arial Narrow"/>
                </w:rPr>
                <w:t>lepoglava@lepoglava.hr</w:t>
              </w:r>
            </w:hyperlink>
            <w:r w:rsidR="00B96DAB">
              <w:rPr>
                <w:rFonts w:ascii="Arial Narrow" w:hAnsi="Arial Narrow"/>
              </w:rPr>
              <w:t xml:space="preserve"> </w:t>
            </w:r>
          </w:p>
        </w:tc>
      </w:tr>
      <w:tr w:rsidR="001866EC" w14:paraId="614BC1BB" w14:textId="77777777" w:rsidTr="004C5938">
        <w:tc>
          <w:tcPr>
            <w:tcW w:w="13994" w:type="dxa"/>
            <w:gridSpan w:val="2"/>
          </w:tcPr>
          <w:p w14:paraId="735364B7" w14:textId="04C7C6D0" w:rsidR="001866EC" w:rsidRDefault="001866EC" w:rsidP="00BE4AFF">
            <w:pPr>
              <w:spacing w:before="80" w:after="80"/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Sukladno odredbi članka 11. Zakona o pravu na pristup informacijama („Narodne novine“ broj 25/13</w:t>
            </w:r>
            <w:r w:rsidR="004C29B3">
              <w:rPr>
                <w:rFonts w:ascii="Arial Narrow" w:hAnsi="Arial Narrow"/>
                <w:b/>
              </w:rPr>
              <w:t xml:space="preserve">, </w:t>
            </w:r>
            <w:r>
              <w:rPr>
                <w:rFonts w:ascii="Arial Narrow" w:hAnsi="Arial Narrow"/>
                <w:b/>
              </w:rPr>
              <w:t>85/15</w:t>
            </w:r>
            <w:r w:rsidR="004C29B3">
              <w:rPr>
                <w:rFonts w:ascii="Arial Narrow" w:hAnsi="Arial Narrow"/>
                <w:b/>
              </w:rPr>
              <w:t xml:space="preserve"> i 69/22</w:t>
            </w:r>
            <w:r>
              <w:rPr>
                <w:rFonts w:ascii="Arial Narrow" w:hAnsi="Arial Narrow"/>
                <w:b/>
              </w:rPr>
              <w:t xml:space="preserve">) po isteku roka za dostavu mišljenja i prijedloga izraditi će se i objaviti </w:t>
            </w:r>
            <w:r w:rsidR="0012116F">
              <w:rPr>
                <w:rFonts w:ascii="Arial Narrow" w:hAnsi="Arial Narrow"/>
                <w:b/>
              </w:rPr>
              <w:t>I</w:t>
            </w:r>
            <w:r>
              <w:rPr>
                <w:rFonts w:ascii="Arial Narrow" w:hAnsi="Arial Narrow"/>
                <w:b/>
              </w:rPr>
              <w:t xml:space="preserve">zvješće o savjetovanje sa zainteresiranom javnošću, koje sadrži zaprimljene prijedloge i primjedbe te očitovanja s razlozima za neprihvaćanje pojedinih prijedloga i primjedbi. Izvješće će se objaviti na službenim Internet stranicama grada Lepoglave </w:t>
            </w:r>
            <w:hyperlink r:id="rId9" w:history="1">
              <w:r w:rsidRPr="006B4A91">
                <w:rPr>
                  <w:rStyle w:val="Hiperveza"/>
                  <w:rFonts w:ascii="Arial Narrow" w:hAnsi="Arial Narrow"/>
                  <w:b/>
                </w:rPr>
                <w:t>www.lepoglava.hr</w:t>
              </w:r>
            </w:hyperlink>
            <w:r>
              <w:rPr>
                <w:rFonts w:ascii="Arial Narrow" w:hAnsi="Arial Narrow"/>
                <w:b/>
              </w:rPr>
              <w:t xml:space="preserve">. </w:t>
            </w:r>
          </w:p>
        </w:tc>
      </w:tr>
    </w:tbl>
    <w:p w14:paraId="32540983" w14:textId="77777777" w:rsidR="00972584" w:rsidRPr="00A15A9C" w:rsidRDefault="00972584" w:rsidP="00972584">
      <w:pPr>
        <w:spacing w:after="0" w:line="240" w:lineRule="auto"/>
        <w:jc w:val="both"/>
        <w:rPr>
          <w:rFonts w:ascii="Arial Narrow" w:hAnsi="Arial Narrow"/>
          <w:b/>
        </w:rPr>
      </w:pPr>
    </w:p>
    <w:sectPr w:rsidR="00972584" w:rsidRPr="00A15A9C" w:rsidSect="00BE4AFF">
      <w:pgSz w:w="16838" w:h="11906" w:orient="landscape"/>
      <w:pgMar w:top="993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584"/>
    <w:rsid w:val="0005367C"/>
    <w:rsid w:val="000E2E60"/>
    <w:rsid w:val="000F5C39"/>
    <w:rsid w:val="0012116F"/>
    <w:rsid w:val="001866EC"/>
    <w:rsid w:val="00193C8B"/>
    <w:rsid w:val="001A01AA"/>
    <w:rsid w:val="001D3FD4"/>
    <w:rsid w:val="001E3089"/>
    <w:rsid w:val="00213D6A"/>
    <w:rsid w:val="002511ED"/>
    <w:rsid w:val="0029213A"/>
    <w:rsid w:val="00355636"/>
    <w:rsid w:val="003E2980"/>
    <w:rsid w:val="00496207"/>
    <w:rsid w:val="004C29B3"/>
    <w:rsid w:val="00535795"/>
    <w:rsid w:val="006668AF"/>
    <w:rsid w:val="006E0FCC"/>
    <w:rsid w:val="006E5D68"/>
    <w:rsid w:val="0072621F"/>
    <w:rsid w:val="00751EC2"/>
    <w:rsid w:val="007816D4"/>
    <w:rsid w:val="00841041"/>
    <w:rsid w:val="00864B1D"/>
    <w:rsid w:val="008B3A7C"/>
    <w:rsid w:val="00963C74"/>
    <w:rsid w:val="00972584"/>
    <w:rsid w:val="009C5CFF"/>
    <w:rsid w:val="009D5680"/>
    <w:rsid w:val="00A33824"/>
    <w:rsid w:val="00A82FA4"/>
    <w:rsid w:val="00B12482"/>
    <w:rsid w:val="00B3367E"/>
    <w:rsid w:val="00B96DAB"/>
    <w:rsid w:val="00BB67AF"/>
    <w:rsid w:val="00BE4AFF"/>
    <w:rsid w:val="00BE5A8B"/>
    <w:rsid w:val="00CA274F"/>
    <w:rsid w:val="00CA4964"/>
    <w:rsid w:val="00CF356E"/>
    <w:rsid w:val="00E73F6F"/>
    <w:rsid w:val="00FB48B6"/>
    <w:rsid w:val="00FD7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85B13"/>
  <w15:chartTrackingRefBased/>
  <w15:docId w15:val="{5FEE1CCF-C210-4104-ACF5-4E5B8F981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3">
    <w:name w:val="heading 3"/>
    <w:basedOn w:val="Normal"/>
    <w:next w:val="Normal"/>
    <w:link w:val="Naslov3Char"/>
    <w:semiHidden/>
    <w:unhideWhenUsed/>
    <w:qFormat/>
    <w:rsid w:val="00972584"/>
    <w:pPr>
      <w:keepNext/>
      <w:spacing w:after="0" w:line="240" w:lineRule="auto"/>
      <w:jc w:val="center"/>
      <w:outlineLvl w:val="2"/>
    </w:pPr>
    <w:rPr>
      <w:rFonts w:ascii="Tahoma" w:eastAsia="Times New Roman" w:hAnsi="Tahoma" w:cs="Times New Roman"/>
      <w:b/>
      <w:kern w:val="28"/>
      <w:sz w:val="16"/>
      <w:szCs w:val="20"/>
      <w:lang w:val="x-none" w:eastAsia="x-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semiHidden/>
    <w:rsid w:val="00972584"/>
    <w:rPr>
      <w:rFonts w:ascii="Tahoma" w:eastAsia="Times New Roman" w:hAnsi="Tahoma" w:cs="Times New Roman"/>
      <w:b/>
      <w:kern w:val="28"/>
      <w:sz w:val="16"/>
      <w:szCs w:val="20"/>
      <w:lang w:val="x-none" w:eastAsia="x-none"/>
    </w:rPr>
  </w:style>
  <w:style w:type="character" w:styleId="Hiperveza">
    <w:name w:val="Hyperlink"/>
    <w:basedOn w:val="Zadanifontodlomka"/>
    <w:uiPriority w:val="99"/>
    <w:unhideWhenUsed/>
    <w:rsid w:val="00972584"/>
    <w:rPr>
      <w:color w:val="0563C1" w:themeColor="hyperlink"/>
      <w:u w:val="single"/>
    </w:rPr>
  </w:style>
  <w:style w:type="table" w:styleId="Reetkatablice">
    <w:name w:val="Table Grid"/>
    <w:basedOn w:val="Obinatablica"/>
    <w:uiPriority w:val="39"/>
    <w:rsid w:val="009725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18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866EC"/>
    <w:rPr>
      <w:rFonts w:ascii="Segoe UI" w:hAnsi="Segoe UI" w:cs="Segoe UI"/>
      <w:sz w:val="18"/>
      <w:szCs w:val="18"/>
    </w:rPr>
  </w:style>
  <w:style w:type="character" w:styleId="Nerijeenospominjanje">
    <w:name w:val="Unresolved Mention"/>
    <w:basedOn w:val="Zadanifontodlomka"/>
    <w:uiPriority w:val="99"/>
    <w:semiHidden/>
    <w:unhideWhenUsed/>
    <w:rsid w:val="00B96D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4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poglava@lepoglava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epoglava.h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lepoglava@lepoglava.hr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lepoglav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304CD9-14F0-4F6C-8126-2C480FED7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461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Josipa Putanec</dc:creator>
  <cp:keywords/>
  <dc:description/>
  <cp:lastModifiedBy>Marija Horvat</cp:lastModifiedBy>
  <cp:revision>14</cp:revision>
  <cp:lastPrinted>2022-11-14T10:51:00Z</cp:lastPrinted>
  <dcterms:created xsi:type="dcterms:W3CDTF">2023-11-13T07:57:00Z</dcterms:created>
  <dcterms:modified xsi:type="dcterms:W3CDTF">2024-06-17T06:54:00Z</dcterms:modified>
</cp:coreProperties>
</file>