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5955" w:leader="none"/>
        </w:tabs>
        <w:rPr>
          <w:rFonts w:ascii="Arial" w:hAnsi="Arial" w:cs="Arial"/>
          <w:b/>
          <w:sz w:val="24"/>
          <w:szCs w:val="24"/>
        </w:rPr>
      </w:pPr>
      <w:r>
        <w:rPr/>
      </w:r>
    </w:p>
    <w:p>
      <w:pPr>
        <w:pStyle w:val="Normal"/>
        <w:tabs>
          <w:tab w:val="clear" w:pos="709"/>
          <w:tab w:val="left" w:pos="5955" w:leader="none"/>
        </w:tabs>
        <w:rPr>
          <w:rFonts w:ascii="Arial" w:hAnsi="Arial" w:cs="Arial"/>
          <w:b/>
          <w:sz w:val="24"/>
          <w:szCs w:val="24"/>
        </w:rPr>
      </w:pPr>
      <w:r>
        <w:rPr>
          <w:rFonts w:cs="Arial" w:ascii="Arial" w:hAnsi="Arial"/>
          <w:b/>
          <w:sz w:val="24"/>
          <w:szCs w:val="24"/>
        </w:rPr>
        <w:t xml:space="preserve">LAG Sjeverozapad objavio je inicijalnu rang listu za Intervenciju 1. 3. 1. </w:t>
      </w:r>
    </w:p>
    <w:p>
      <w:pPr>
        <w:pStyle w:val="Normal"/>
        <w:tabs>
          <w:tab w:val="clear" w:pos="709"/>
          <w:tab w:val="left" w:pos="5955" w:leader="none"/>
        </w:tabs>
        <w:rPr>
          <w:rFonts w:ascii="Arial" w:hAnsi="Arial" w:cs="Arial"/>
          <w:b/>
          <w:sz w:val="24"/>
          <w:szCs w:val="24"/>
          <w:u w:val="single"/>
        </w:rPr>
      </w:pPr>
      <w:r>
        <w:rPr>
          <w:rFonts w:cs="Arial" w:ascii="Arial" w:hAnsi="Arial"/>
          <w:sz w:val="24"/>
          <w:szCs w:val="24"/>
        </w:rPr>
        <w:t xml:space="preserve">                               </w:t>
      </w:r>
      <w:r>
        <w:rPr>
          <w:rFonts w:cs="Arial" w:ascii="Arial" w:hAnsi="Arial"/>
          <w:b/>
          <w:sz w:val="24"/>
          <w:szCs w:val="24"/>
          <w:u w:val="single"/>
        </w:rPr>
        <w:t xml:space="preserve">Projekti vrijedni više od 3 milijuna eura </w:t>
      </w:r>
    </w:p>
    <w:p>
      <w:pPr>
        <w:pStyle w:val="Normal"/>
        <w:tabs>
          <w:tab w:val="clear" w:pos="709"/>
          <w:tab w:val="left" w:pos="5955" w:leader="none"/>
        </w:tabs>
        <w:rPr>
          <w:rFonts w:ascii="Arial" w:hAnsi="Arial" w:cs="Arial"/>
          <w:b/>
          <w:sz w:val="24"/>
          <w:szCs w:val="24"/>
        </w:rPr>
      </w:pPr>
      <w:r>
        <w:rPr>
          <w:rFonts w:cs="Arial" w:ascii="Arial" w:hAnsi="Arial"/>
          <w:b/>
          <w:sz w:val="24"/>
          <w:szCs w:val="24"/>
        </w:rPr>
        <w:t xml:space="preserve">Lokalna akcijska grupa – Sjeverozapad objavila je inicijalnu rang listu zahtjeva za potporu koji su stigli na prvi LAG natječaj za Intervenciju 1.3.1.  - Potpora izgradnji i rekonstrukciji javne infrastrukture LAG područja. Zahtjeve za potporu podnijelo je svih 15 jedinica lokalne samouprave s područja LAG-a Sjeverozapad, a ukupna vrijednost projekata veća je od 3 milijuna eura. </w:t>
      </w:r>
    </w:p>
    <w:p>
      <w:pPr>
        <w:pStyle w:val="Normal"/>
        <w:tabs>
          <w:tab w:val="clear" w:pos="709"/>
          <w:tab w:val="left" w:pos="5955" w:leader="none"/>
        </w:tabs>
        <w:rPr>
          <w:rFonts w:ascii="Arial" w:hAnsi="Arial" w:cs="Arial"/>
          <w:sz w:val="24"/>
          <w:szCs w:val="24"/>
        </w:rPr>
      </w:pPr>
      <w:r>
        <w:rPr>
          <w:rFonts w:cs="Arial" w:ascii="Arial" w:hAnsi="Arial"/>
          <w:sz w:val="24"/>
          <w:szCs w:val="24"/>
        </w:rPr>
        <w:t>Povjerenstvo za otvaranje zahtjeva za potporu LAG-a Sjeverozapad prošlog je tjedna otvorilo sve pristigle zahtjeve jedinica lokalne samouprave sa svog područja, napravilo je inicijalnu provjeru pristiglih zahtjeva te je formiral</w:t>
      </w:r>
      <w:r>
        <w:rPr>
          <w:rFonts w:cs="Arial" w:ascii="Arial" w:hAnsi="Arial"/>
          <w:sz w:val="24"/>
          <w:szCs w:val="24"/>
        </w:rPr>
        <w:t>o</w:t>
      </w:r>
      <w:r>
        <w:rPr>
          <w:rFonts w:cs="Arial" w:ascii="Arial" w:hAnsi="Arial"/>
          <w:sz w:val="24"/>
          <w:szCs w:val="24"/>
        </w:rPr>
        <w:t xml:space="preserve"> i inicijativnu rang listu za ovu intervenciju. </w:t>
      </w:r>
    </w:p>
    <w:p>
      <w:pPr>
        <w:pStyle w:val="Normal"/>
        <w:tabs>
          <w:tab w:val="clear" w:pos="709"/>
          <w:tab w:val="left" w:pos="5955" w:leader="none"/>
        </w:tabs>
        <w:rPr>
          <w:rFonts w:ascii="Arial" w:hAnsi="Arial" w:cs="Arial"/>
          <w:sz w:val="24"/>
          <w:szCs w:val="24"/>
        </w:rPr>
      </w:pPr>
      <w:r>
        <w:rPr>
          <w:rFonts w:cs="Arial" w:ascii="Arial" w:hAnsi="Arial"/>
          <w:sz w:val="24"/>
          <w:szCs w:val="24"/>
        </w:rPr>
        <w:t xml:space="preserve">-Svih petnaest jedinica lokalne samouprave na vrijeme je poslalo svoje zahtjeve za potporu izgradnji i rekonstrukciji javne infrastrukture. Ukupna vrijednost prijavljenih projekata je 3 milijuna i 86 tisuća eura, a LAG Sjeverozapad će prijavljene projekte sufinancirati s ukupno 939.900 eura, odnosno, sa 62.660 eura po projektu – istaknuo je </w:t>
      </w:r>
      <w:r>
        <w:rPr>
          <w:rFonts w:cs="Arial" w:ascii="Arial" w:hAnsi="Arial"/>
          <w:b/>
          <w:sz w:val="24"/>
          <w:szCs w:val="24"/>
        </w:rPr>
        <w:t>Emil Tkalec</w:t>
      </w:r>
      <w:r>
        <w:rPr>
          <w:rFonts w:cs="Arial" w:ascii="Arial" w:hAnsi="Arial"/>
          <w:sz w:val="24"/>
          <w:szCs w:val="24"/>
        </w:rPr>
        <w:t xml:space="preserve">, LEADER menadžer i tajnik Lokalne akcijske grupe – Sjeverozapad. </w:t>
      </w:r>
    </w:p>
    <w:p>
      <w:pPr>
        <w:pStyle w:val="Normal"/>
        <w:tabs>
          <w:tab w:val="clear" w:pos="709"/>
          <w:tab w:val="left" w:pos="5955" w:leader="none"/>
        </w:tabs>
        <w:rPr>
          <w:rFonts w:ascii="Arial" w:hAnsi="Arial" w:cs="Arial"/>
          <w:sz w:val="24"/>
          <w:szCs w:val="24"/>
        </w:rPr>
      </w:pPr>
      <w:r>
        <w:rPr>
          <w:rFonts w:cs="Arial" w:ascii="Arial" w:hAnsi="Arial"/>
          <w:sz w:val="24"/>
          <w:szCs w:val="24"/>
        </w:rPr>
        <w:t xml:space="preserve">Na natječaj LAG-a Sjeverozapad za Intervenciju 1.3.1. Općina Petrijanec je prijavila projekt rekonstrukcije grobne kuće u Petrijancu, Općina Cestica projekt izgradnje parkirališta uz groblje u Cestici, Općina Vinica za izgradnju pump track staze, a Općina Bednja za izgradnju teniskih terena. </w:t>
      </w:r>
    </w:p>
    <w:p>
      <w:pPr>
        <w:pStyle w:val="Normal"/>
        <w:tabs>
          <w:tab w:val="clear" w:pos="709"/>
          <w:tab w:val="left" w:pos="5955" w:leader="none"/>
        </w:tabs>
        <w:rPr>
          <w:rFonts w:ascii="Arial" w:hAnsi="Arial" w:cs="Arial"/>
          <w:sz w:val="24"/>
          <w:szCs w:val="24"/>
        </w:rPr>
      </w:pPr>
      <w:r>
        <w:rPr>
          <w:rFonts w:cs="Arial" w:ascii="Arial" w:hAnsi="Arial"/>
          <w:sz w:val="24"/>
          <w:szCs w:val="24"/>
        </w:rPr>
        <w:t xml:space="preserve">Općina Donja Voća prijavila je projekt uređenja kolumbarijskog trga na groblju u Donjoj Voći, Općina Beretinec projekt rekonstrukcije i dogradnje garažnog prostora DVD Beretinec, a Općina Vidovec projekt rekonstrukcije nerazvrstane ceste NC – 1 – 026 odvojak Belske ulice u naselju Tužno. </w:t>
      </w:r>
    </w:p>
    <w:p>
      <w:pPr>
        <w:pStyle w:val="Normal"/>
        <w:tabs>
          <w:tab w:val="clear" w:pos="709"/>
          <w:tab w:val="left" w:pos="5955" w:leader="none"/>
        </w:tabs>
        <w:rPr>
          <w:rFonts w:ascii="Arial" w:hAnsi="Arial" w:cs="Arial"/>
          <w:sz w:val="24"/>
          <w:szCs w:val="24"/>
        </w:rPr>
      </w:pPr>
      <w:r>
        <w:rPr>
          <w:rFonts w:cs="Arial" w:ascii="Arial" w:hAnsi="Arial"/>
          <w:sz w:val="24"/>
          <w:szCs w:val="24"/>
        </w:rPr>
        <w:t xml:space="preserve">Općina Sračinec je podnijela zahtjev za sufinanciranje rekonstrukcije dječjeg igrališta „Crlenka“, a Općina Maruševec za proširenje i produljenje nerazvrstane ceste uz zapadnu i južnu među groblja te izgradnju parkirališta uz novi dio groblja. </w:t>
      </w:r>
    </w:p>
    <w:p>
      <w:pPr>
        <w:pStyle w:val="Normal"/>
        <w:tabs>
          <w:tab w:val="clear" w:pos="709"/>
          <w:tab w:val="left" w:pos="5955" w:leader="none"/>
        </w:tabs>
        <w:rPr>
          <w:rFonts w:ascii="Arial" w:hAnsi="Arial" w:cs="Arial"/>
          <w:sz w:val="24"/>
          <w:szCs w:val="24"/>
        </w:rPr>
      </w:pPr>
      <w:r>
        <w:rPr>
          <w:rFonts w:cs="Arial" w:ascii="Arial" w:hAnsi="Arial"/>
          <w:sz w:val="24"/>
          <w:szCs w:val="24"/>
        </w:rPr>
        <w:t>Općina Klenovnik je na natječaj prijavila projekt izgradnje svlačionica i pratećih sportskih sadržaja u Dubravcu, a Općina Sveti Ilija projekt izgradnje društvenog doma u Krušljevcu.</w:t>
      </w:r>
    </w:p>
    <w:p>
      <w:pPr>
        <w:pStyle w:val="Normal"/>
        <w:tabs>
          <w:tab w:val="clear" w:pos="709"/>
          <w:tab w:val="left" w:pos="5955" w:leader="none"/>
        </w:tabs>
        <w:rPr>
          <w:rFonts w:ascii="Arial" w:hAnsi="Arial" w:cs="Arial"/>
          <w:sz w:val="24"/>
          <w:szCs w:val="24"/>
        </w:rPr>
      </w:pPr>
      <w:r>
        <w:rPr>
          <w:rFonts w:cs="Arial" w:ascii="Arial" w:hAnsi="Arial"/>
          <w:sz w:val="24"/>
          <w:szCs w:val="24"/>
        </w:rPr>
        <w:t xml:space="preserve">Općina Gornji Kneginec prijavila je projekt izgradnje nove nerazvrstane ceste na novoformiranoj građevinskoj čestici. </w:t>
      </w:r>
    </w:p>
    <w:p>
      <w:pPr>
        <w:pStyle w:val="Normal"/>
        <w:tabs>
          <w:tab w:val="clear" w:pos="709"/>
          <w:tab w:val="left" w:pos="5955" w:leader="none"/>
        </w:tabs>
        <w:rPr>
          <w:rFonts w:ascii="Arial" w:hAnsi="Arial" w:cs="Arial"/>
          <w:sz w:val="24"/>
          <w:szCs w:val="24"/>
        </w:rPr>
      </w:pPr>
      <w:r>
        <w:rPr>
          <w:rFonts w:cs="Arial" w:ascii="Arial" w:hAnsi="Arial"/>
          <w:sz w:val="24"/>
          <w:szCs w:val="24"/>
        </w:rPr>
        <w:t xml:space="preserve">Grad Lepoglava je na ovaj LAG natječaj prijavio projekt rekonstrukcije Varaždinske ulice u Lepoglavi, Grad Ivanec projekt uređenja parka u Ulici Đure Arnolda u Ivancu, a Grad Varaždin izgradnju odvojka s pratećom infrastrukturom u Ulici braće Radić u Gojancu. </w:t>
      </w:r>
    </w:p>
    <w:p>
      <w:pPr>
        <w:pStyle w:val="Normal"/>
        <w:tabs>
          <w:tab w:val="clear" w:pos="709"/>
          <w:tab w:val="left" w:pos="5955" w:leader="none"/>
        </w:tabs>
        <w:rPr>
          <w:rFonts w:ascii="Arial" w:hAnsi="Arial" w:cs="Arial"/>
          <w:sz w:val="24"/>
          <w:szCs w:val="24"/>
        </w:rPr>
      </w:pPr>
      <w:r>
        <w:rPr>
          <w:rFonts w:cs="Arial" w:ascii="Arial" w:hAnsi="Arial"/>
          <w:sz w:val="24"/>
          <w:szCs w:val="24"/>
        </w:rPr>
        <w:t xml:space="preserve">-Na natječaj Lokalne akcijske grupe – Sjeverozapad svoje su projekte prijavile sve jedinice lokalne samouprave s našeg područja. Prijavljeni projekti odnose se na takozvanu malu komunalnu infrastrukturu, a raznovrsnost prijavljenih projekata pokazuje da će općine i gradovi dobro iskoristiti sredstva za sufinanciranje te će bespovratnim sredstvima LAG-a Sjeverozapad riješiti neke od komunalnih problema za čije rješavanje inače ne mogu dobiti sredstva iz drugih izvora. Završetkom projekata koji su prijavljeni na naš natječaj sigurno će biti poboljšana razina komunalne opremljenosti na području našeg LAG-a – istaknuo je </w:t>
      </w:r>
      <w:r>
        <w:rPr>
          <w:rFonts w:cs="Arial" w:ascii="Arial" w:hAnsi="Arial"/>
          <w:b/>
          <w:sz w:val="24"/>
          <w:szCs w:val="24"/>
        </w:rPr>
        <w:t>Marijan Škvarić</w:t>
      </w:r>
      <w:r>
        <w:rPr>
          <w:rFonts w:cs="Arial" w:ascii="Arial" w:hAnsi="Arial"/>
          <w:sz w:val="24"/>
          <w:szCs w:val="24"/>
        </w:rPr>
        <w:t xml:space="preserve">, predsjednik Lokalne akcijske grupe – Sjeverozapad. </w:t>
      </w:r>
    </w:p>
    <w:p>
      <w:pPr>
        <w:pStyle w:val="Normal"/>
        <w:tabs>
          <w:tab w:val="clear" w:pos="709"/>
          <w:tab w:val="left" w:pos="5955" w:leader="none"/>
        </w:tabs>
        <w:rPr>
          <w:rFonts w:ascii="Arial" w:hAnsi="Arial" w:cs="Arial"/>
          <w:sz w:val="24"/>
          <w:szCs w:val="24"/>
        </w:rPr>
      </w:pPr>
      <w:r>
        <w:rPr>
          <w:rFonts w:cs="Arial" w:ascii="Arial" w:hAnsi="Arial"/>
          <w:sz w:val="24"/>
          <w:szCs w:val="24"/>
        </w:rPr>
        <w:t xml:space="preserve">   </w:t>
      </w:r>
      <w:bookmarkStart w:id="0" w:name="_GoBack"/>
      <w:bookmarkEnd w:id="0"/>
    </w:p>
    <w:p>
      <w:pPr>
        <w:pStyle w:val="Normal"/>
        <w:tabs>
          <w:tab w:val="clear" w:pos="709"/>
          <w:tab w:val="left" w:pos="5955" w:leader="none"/>
        </w:tabs>
        <w:spacing w:before="0" w:after="200"/>
        <w:rPr>
          <w:rFonts w:ascii="Arial" w:hAnsi="Arial" w:cs="Arial"/>
          <w:sz w:val="24"/>
          <w:szCs w:val="24"/>
        </w:rPr>
      </w:pPr>
      <w:r>
        <w:rPr>
          <w:rFonts w:cs="Arial" w:ascii="Arial" w:hAnsi="Arial"/>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566" w:gutter="0" w:header="426" w:top="1417" w:footer="202"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Tahoma">
    <w:charset w:val="ee" w:characterSet="windows-1250"/>
    <w:family w:val="roman"/>
    <w:pitch w:val="variable"/>
  </w:font>
  <w:font w:name="Liberation Sans">
    <w:altName w:val="Arial"/>
    <w:charset w:val="ee" w:characterSet="windows-1250"/>
    <w:family w:val="swiss"/>
    <w:pitch w:val="variable"/>
  </w:font>
  <w:font w:name="Verdana">
    <w:charset w:val="ee" w:characterSet="windows-1250"/>
    <w:family w:val="roman"/>
    <w:pitch w:val="variable"/>
  </w:font>
  <w:font w:name="Liberation Sans">
    <w:altName w:val="Arial"/>
    <w:charset w:val="ee" w:characterSet="windows-1250"/>
    <w:family w:val="roman"/>
    <w:pitch w:val="variable"/>
  </w:font>
  <w:font w:name="Arial">
    <w:charset w:val="ee" w:characterSet="windows-1250"/>
    <w:family w:val="swiss"/>
    <w:pitch w:val="variable"/>
  </w:font>
  <w:font w:name="Times New Roman">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start="-851"/>
      <w:jc w:val="center"/>
      <w:rPr>
        <w:rFonts w:ascii="Times New Roman" w:hAnsi="Times New Roman" w:eastAsia="Times New Roman" w:cs="Times New Roman"/>
        <w:sz w:val="24"/>
        <w:szCs w:val="24"/>
        <w:lang w:eastAsia="hr-HR"/>
      </w:rPr>
    </w:pPr>
    <w:r>
      <w:rPr/>
      <w:drawing>
        <wp:inline distT="0" distB="0" distL="0" distR="0">
          <wp:extent cx="2162175" cy="490220"/>
          <wp:effectExtent l="0" t="0" r="0" b="0"/>
          <wp:docPr id="3" name="Slika 2" descr="LAG-Leader-Ipard-Nedelisce3"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descr="LAG-Leader-Ipard-Nedelisce3" title=""/>
                  <pic:cNvPicPr>
                    <a:picLocks noChangeAspect="1" noChangeArrowheads="1"/>
                  </pic:cNvPicPr>
                </pic:nvPicPr>
                <pic:blipFill>
                  <a:blip r:embed="rId1"/>
                  <a:stretch>
                    <a:fillRect/>
                  </a:stretch>
                </pic:blipFill>
                <pic:spPr bwMode="auto">
                  <a:xfrm>
                    <a:off x="0" y="0"/>
                    <a:ext cx="2162175" cy="490220"/>
                  </a:xfrm>
                  <a:prstGeom prst="rect">
                    <a:avLst/>
                  </a:prstGeom>
                  <a:noFill/>
                </pic:spPr>
              </pic:pic>
            </a:graphicData>
          </a:graphic>
        </wp:inline>
      </w:drawing>
    </w:r>
  </w:p>
  <w:p>
    <w:pPr>
      <w:pStyle w:val="Normal"/>
      <w:spacing w:before="0" w:after="0"/>
      <w:ind w:hanging="0" w:start="-851"/>
      <w:jc w:val="center"/>
      <w:rPr>
        <w:rFonts w:ascii="Times New Roman" w:hAnsi="Times New Roman" w:eastAsia="Times New Roman" w:cs="Times New Roman"/>
        <w:sz w:val="24"/>
        <w:szCs w:val="24"/>
        <w:lang w:eastAsia="hr-HR"/>
      </w:rPr>
    </w:pPr>
    <w:r>
      <w:rPr>
        <w:rFonts w:eastAsia="Times New Roman" w:cs="Times New Roman" w:ascii="Times New Roman" w:hAnsi="Times New Roman"/>
        <w:b/>
        <w:bCs/>
        <w:sz w:val="18"/>
        <w:szCs w:val="18"/>
        <w:lang w:eastAsia="hr-HR"/>
      </w:rPr>
      <w:t>PROGRAM RURALNOG RAZVOJA 2014.-2020.</w:t>
    </w:r>
  </w:p>
  <w:p>
    <w:pPr>
      <w:pStyle w:val="Normal"/>
      <w:spacing w:before="0" w:after="0"/>
      <w:ind w:hanging="0" w:start="-851"/>
      <w:jc w:val="center"/>
      <w:rPr>
        <w:rFonts w:ascii="Times New Roman" w:hAnsi="Times New Roman" w:eastAsia="Times New Roman" w:cs="Times New Roman"/>
        <w:sz w:val="15"/>
        <w:szCs w:val="15"/>
        <w:lang w:eastAsia="hr-HR"/>
      </w:rPr>
    </w:pPr>
    <w:r>
      <w:rPr>
        <w:rFonts w:eastAsia="Times New Roman" w:cs="Times New Roman" w:ascii="Times New Roman" w:hAnsi="Times New Roman"/>
        <w:sz w:val="15"/>
        <w:szCs w:val="15"/>
        <w:lang w:eastAsia="hr-HR"/>
      </w:rPr>
      <w:t>Udio sufinanciranja: 90% EU, 10% RH</w:t>
      <w:br/>
      <w:t>Europski poljoprivredni fond za ruralni razvoj: Europa ulaže u ruralna područja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start="-851"/>
      <w:jc w:val="center"/>
      <w:rPr>
        <w:rFonts w:ascii="Times New Roman" w:hAnsi="Times New Roman" w:eastAsia="Times New Roman" w:cs="Times New Roman"/>
        <w:sz w:val="24"/>
        <w:szCs w:val="24"/>
        <w:lang w:eastAsia="hr-HR"/>
      </w:rPr>
    </w:pPr>
    <w:r>
      <w:rPr/>
      <w:drawing>
        <wp:inline distT="0" distB="0" distL="0" distR="0">
          <wp:extent cx="2162175" cy="490220"/>
          <wp:effectExtent l="0" t="0" r="0" b="0"/>
          <wp:docPr id="4" name="Slika 2" descr="LAG-Leader-Ipard-Nedelisce3"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2" descr="LAG-Leader-Ipard-Nedelisce3" title=""/>
                  <pic:cNvPicPr>
                    <a:picLocks noChangeAspect="1" noChangeArrowheads="1"/>
                  </pic:cNvPicPr>
                </pic:nvPicPr>
                <pic:blipFill>
                  <a:blip r:embed="rId1"/>
                  <a:stretch>
                    <a:fillRect/>
                  </a:stretch>
                </pic:blipFill>
                <pic:spPr bwMode="auto">
                  <a:xfrm>
                    <a:off x="0" y="0"/>
                    <a:ext cx="2162175" cy="490220"/>
                  </a:xfrm>
                  <a:prstGeom prst="rect">
                    <a:avLst/>
                  </a:prstGeom>
                  <a:noFill/>
                </pic:spPr>
              </pic:pic>
            </a:graphicData>
          </a:graphic>
        </wp:inline>
      </w:drawing>
    </w:r>
  </w:p>
  <w:p>
    <w:pPr>
      <w:pStyle w:val="Normal"/>
      <w:spacing w:before="0" w:after="0"/>
      <w:ind w:hanging="0" w:start="-851"/>
      <w:jc w:val="center"/>
      <w:rPr>
        <w:rFonts w:ascii="Times New Roman" w:hAnsi="Times New Roman" w:eastAsia="Times New Roman" w:cs="Times New Roman"/>
        <w:sz w:val="24"/>
        <w:szCs w:val="24"/>
        <w:lang w:eastAsia="hr-HR"/>
      </w:rPr>
    </w:pPr>
    <w:r>
      <w:rPr>
        <w:rFonts w:eastAsia="Times New Roman" w:cs="Times New Roman" w:ascii="Times New Roman" w:hAnsi="Times New Roman"/>
        <w:b/>
        <w:bCs/>
        <w:sz w:val="18"/>
        <w:szCs w:val="18"/>
        <w:lang w:eastAsia="hr-HR"/>
      </w:rPr>
      <w:t>PROGRAM RURALNOG RAZVOJA 2014.-2020.</w:t>
    </w:r>
  </w:p>
  <w:p>
    <w:pPr>
      <w:pStyle w:val="Normal"/>
      <w:spacing w:before="0" w:after="0"/>
      <w:ind w:hanging="0" w:start="-851"/>
      <w:jc w:val="center"/>
      <w:rPr>
        <w:rFonts w:ascii="Times New Roman" w:hAnsi="Times New Roman" w:eastAsia="Times New Roman" w:cs="Times New Roman"/>
        <w:sz w:val="15"/>
        <w:szCs w:val="15"/>
        <w:lang w:eastAsia="hr-HR"/>
      </w:rPr>
    </w:pPr>
    <w:r>
      <w:rPr>
        <w:rFonts w:eastAsia="Times New Roman" w:cs="Times New Roman" w:ascii="Times New Roman" w:hAnsi="Times New Roman"/>
        <w:sz w:val="15"/>
        <w:szCs w:val="15"/>
        <w:lang w:eastAsia="hr-HR"/>
      </w:rPr>
      <w:t>Udio sufinanciranja: 90% EU, 10% RH</w:t>
      <w:br/>
      <w:t>Europski poljoprivredni fond za ruralni razvoj: Europa ulaže u ruralna područja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851"/>
      <w:rPr/>
    </w:pPr>
    <w:r>
      <w:rPr/>
      <w:drawing>
        <wp:inline distT="0" distB="0" distL="0" distR="0">
          <wp:extent cx="6829425" cy="1346835"/>
          <wp:effectExtent l="0" t="0" r="0" b="0"/>
          <wp:docPr id="1" name="Slika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 title=""/>
                  <pic:cNvPicPr>
                    <a:picLocks noChangeAspect="1" noChangeArrowheads="1"/>
                  </pic:cNvPicPr>
                </pic:nvPicPr>
                <pic:blipFill>
                  <a:blip r:embed="rId1"/>
                  <a:stretch>
                    <a:fillRect/>
                  </a:stretch>
                </pic:blipFill>
                <pic:spPr bwMode="auto">
                  <a:xfrm>
                    <a:off x="0" y="0"/>
                    <a:ext cx="6829425" cy="134683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851"/>
      <w:rPr/>
    </w:pPr>
    <w:r>
      <w:rPr/>
      <w:drawing>
        <wp:inline distT="0" distB="0" distL="0" distR="0">
          <wp:extent cx="6829425" cy="1346835"/>
          <wp:effectExtent l="0" t="0" r="0" b="0"/>
          <wp:docPr id="2" name="Slika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3" descr="" title=""/>
                  <pic:cNvPicPr>
                    <a:picLocks noChangeAspect="1" noChangeArrowheads="1"/>
                  </pic:cNvPicPr>
                </pic:nvPicPr>
                <pic:blipFill>
                  <a:blip r:embed="rId1"/>
                  <a:stretch>
                    <a:fillRect/>
                  </a:stretch>
                </pic:blipFill>
                <pic:spPr bwMode="auto">
                  <a:xfrm>
                    <a:off x="0" y="0"/>
                    <a:ext cx="6829425" cy="1346835"/>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hr-H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start"/>
    </w:pPr>
    <w:rPr>
      <w:rFonts w:ascii="Calibri" w:hAnsi="Calibri" w:eastAsia="Calibri" w:cs="" w:asciiTheme="minorHAnsi" w:cstheme="minorBidi" w:eastAsiaTheme="minorHAnsi" w:hAnsiTheme="minorHAnsi"/>
      <w:color w:val="00000A"/>
      <w:kern w:val="0"/>
      <w:sz w:val="22"/>
      <w:szCs w:val="22"/>
      <w:lang w:val="hr-HR" w:eastAsia="en-US" w:bidi="ar-SA"/>
    </w:rPr>
  </w:style>
  <w:style w:type="character" w:styleId="DefaultParagraphFont" w:default="1">
    <w:name w:val="Default Paragraph Font"/>
    <w:uiPriority w:val="1"/>
    <w:semiHidden/>
    <w:unhideWhenUsed/>
    <w:qFormat/>
    <w:rPr/>
  </w:style>
  <w:style w:type="character" w:styleId="ZaglavljeChar" w:customStyle="1">
    <w:name w:val="Zaglavlje Char"/>
    <w:basedOn w:val="DefaultParagraphFont"/>
    <w:uiPriority w:val="99"/>
    <w:qFormat/>
    <w:rsid w:val="00ec0226"/>
    <w:rPr/>
  </w:style>
  <w:style w:type="character" w:styleId="PodnojeChar" w:customStyle="1">
    <w:name w:val="Podnožje Char"/>
    <w:basedOn w:val="DefaultParagraphFont"/>
    <w:uiPriority w:val="99"/>
    <w:qFormat/>
    <w:rsid w:val="00ec0226"/>
    <w:rPr/>
  </w:style>
  <w:style w:type="character" w:styleId="TekstbaloniaChar" w:customStyle="1">
    <w:name w:val="Tekst balončića Char"/>
    <w:basedOn w:val="DefaultParagraphFont"/>
    <w:uiPriority w:val="99"/>
    <w:semiHidden/>
    <w:qFormat/>
    <w:rsid w:val="00ec0226"/>
    <w:rPr>
      <w:rFonts w:ascii="Tahoma" w:hAnsi="Tahoma" w:cs="Tahoma"/>
      <w:sz w:val="16"/>
      <w:szCs w:val="16"/>
    </w:rPr>
  </w:style>
  <w:style w:type="character" w:styleId="InternetLink" w:customStyle="1">
    <w:name w:val="Internet Link"/>
    <w:basedOn w:val="DefaultParagraphFont"/>
    <w:qFormat/>
    <w:rPr>
      <w:color w:themeColor="hyperlink" w:val="0000FF"/>
      <w:u w:val="single"/>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ascii="Verdana" w:hAnsi="Verdana" w:cs="Arial"/>
      <w:i/>
      <w:iCs/>
      <w:sz w:val="24"/>
      <w:szCs w:val="24"/>
    </w:rPr>
  </w:style>
  <w:style w:type="paragraph" w:styleId="Indeks">
    <w:name w:val="Indeks"/>
    <w:basedOn w:val="Normal"/>
    <w:qFormat/>
    <w:pPr>
      <w:suppressLineNumbers/>
    </w:pPr>
    <w:rPr>
      <w:rFonts w:cs="Arial"/>
    </w:rPr>
  </w:style>
  <w:style w:type="paragraph" w:styleId="Stilnaslovauser" w:customStyle="1">
    <w:name w:val="Stil naslova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customStyle="1">
    <w:name w:val="Indeks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Zaglavljeipodnoje" w:customStyle="1">
    <w:name w:val="Zaglavlje i podnožje"/>
    <w:basedOn w:val="Normal"/>
    <w:qFormat/>
    <w:pPr/>
    <w:rPr/>
  </w:style>
  <w:style w:type="paragraph" w:styleId="HeaderandFooter">
    <w:name w:val="Header and Footer"/>
    <w:basedOn w:val="Normal"/>
    <w:qFormat/>
    <w:pPr/>
    <w:rPr/>
  </w:style>
  <w:style w:type="paragraph" w:styleId="Header">
    <w:name w:val="header"/>
    <w:basedOn w:val="Normal"/>
    <w:link w:val="ZaglavljeChar"/>
    <w:uiPriority w:val="99"/>
    <w:unhideWhenUsed/>
    <w:rsid w:val="00ec0226"/>
    <w:pPr>
      <w:tabs>
        <w:tab w:val="clear" w:pos="709"/>
        <w:tab w:val="center" w:pos="4536" w:leader="none"/>
        <w:tab w:val="right" w:pos="9072" w:leader="none"/>
      </w:tabs>
      <w:spacing w:lineRule="auto" w:line="240" w:before="0" w:after="0"/>
    </w:pPr>
    <w:rPr/>
  </w:style>
  <w:style w:type="paragraph" w:styleId="Footer">
    <w:name w:val="footer"/>
    <w:basedOn w:val="Normal"/>
    <w:link w:val="PodnojeChar"/>
    <w:uiPriority w:val="99"/>
    <w:unhideWhenUsed/>
    <w:rsid w:val="00ec0226"/>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baloniaChar"/>
    <w:uiPriority w:val="99"/>
    <w:semiHidden/>
    <w:unhideWhenUsed/>
    <w:qFormat/>
    <w:rsid w:val="00ec0226"/>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hanging="0" w:start="720"/>
      <w:contextualSpacing/>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LibreOffice/24.8.6.1$Windows_X86_64 LibreOffice_project/051bf11303684a0a982c9966e8be766d0a9efbc7</Application>
  <AppVersion>15.0000</AppVersion>
  <Pages>2</Pages>
  <Words>493</Words>
  <Characters>3080</Characters>
  <CharactersWithSpaces>3611</CharactersWithSpaces>
  <Paragraphs>21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2021-06-19T07:32:00Z</dcterms:created>
  <dc:creator>Emil Tkalec</dc:creator>
  <dc:description/>
  <dc:language>hr-HR</dc:language>
  <cp:lastModifiedBy/>
  <cp:lastPrinted>2015-12-11T11:43:00Z</cp:lastPrinted>
  <dcterms:modified xsi:type="dcterms:W3CDTF">2025-04-22T15:13:38Z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