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12" w:rsidRPr="003563A9" w:rsidRDefault="00574612" w:rsidP="00574612">
      <w:pPr>
        <w:pStyle w:val="Povratnaomotnica"/>
        <w:rPr>
          <w:rFonts w:ascii="Arial Narrow" w:hAnsi="Arial Narrow"/>
          <w:sz w:val="22"/>
          <w:szCs w:val="22"/>
        </w:rPr>
      </w:pPr>
      <w:r w:rsidRPr="003563A9">
        <w:rPr>
          <w:rFonts w:ascii="Arial Narrow" w:hAnsi="Arial Narrow"/>
          <w:noProof/>
          <w:lang w:val="hr-HR"/>
        </w:rPr>
        <w:drawing>
          <wp:anchor distT="0" distB="0" distL="114300" distR="114300" simplePos="0" relativeHeight="251659264" behindDoc="0" locked="0" layoutInCell="1" allowOverlap="1">
            <wp:simplePos x="0" y="0"/>
            <wp:positionH relativeFrom="column">
              <wp:posOffset>801929</wp:posOffset>
            </wp:positionH>
            <wp:positionV relativeFrom="paragraph">
              <wp:posOffset>-124359</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612" w:rsidRPr="003563A9" w:rsidRDefault="00574612" w:rsidP="00574612">
      <w:pPr>
        <w:rPr>
          <w:rFonts w:ascii="Arial Narrow" w:hAnsi="Arial Narrow"/>
          <w:sz w:val="22"/>
          <w:szCs w:val="22"/>
        </w:rPr>
      </w:pPr>
    </w:p>
    <w:p w:rsidR="00574612" w:rsidRPr="003563A9" w:rsidRDefault="00574612" w:rsidP="00574612">
      <w:pPr>
        <w:rPr>
          <w:rFonts w:ascii="Arial Narrow" w:hAnsi="Arial Narrow"/>
          <w:sz w:val="22"/>
          <w:szCs w:val="22"/>
        </w:rPr>
      </w:pPr>
      <w:r w:rsidRPr="003563A9">
        <w:rPr>
          <w:rFonts w:ascii="Arial Narrow" w:hAnsi="Arial Narrow"/>
          <w:sz w:val="22"/>
          <w:szCs w:val="22"/>
        </w:rPr>
        <w:t xml:space="preserve">                          </w:t>
      </w:r>
    </w:p>
    <w:p w:rsidR="00574612" w:rsidRPr="003563A9" w:rsidRDefault="00574612" w:rsidP="00574612">
      <w:pPr>
        <w:rPr>
          <w:rFonts w:ascii="Arial Narrow" w:hAnsi="Arial Narrow"/>
          <w:sz w:val="22"/>
          <w:szCs w:val="22"/>
        </w:rPr>
      </w:pPr>
    </w:p>
    <w:p w:rsidR="00574612" w:rsidRPr="003563A9" w:rsidRDefault="00574612" w:rsidP="00574612">
      <w:pPr>
        <w:rPr>
          <w:rFonts w:ascii="Arial Narrow" w:hAnsi="Arial Narrow"/>
          <w:sz w:val="22"/>
          <w:szCs w:val="22"/>
        </w:rPr>
      </w:pPr>
      <w:r w:rsidRPr="003563A9">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140335</wp:posOffset>
                </wp:positionV>
                <wp:extent cx="2404110" cy="959485"/>
                <wp:effectExtent l="4445" t="0" r="127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9pt;margin-top:11.05pt;width:189.3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" stroked="f">
                <v:textbo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v:textbox>
              </v:shape>
            </w:pict>
          </mc:Fallback>
        </mc:AlternateContent>
      </w: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KLASA :551-06/03-01/01</w:t>
      </w: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URBROJ: 2186/016-01-03</w:t>
      </w:r>
    </w:p>
    <w:p w:rsidR="00574612" w:rsidRPr="003563A9" w:rsidRDefault="00574612" w:rsidP="00574612">
      <w:pPr>
        <w:pStyle w:val="Tijeloteksta"/>
        <w:rPr>
          <w:rFonts w:ascii="Arial Narrow" w:hAnsi="Arial Narrow"/>
          <w:sz w:val="22"/>
          <w:szCs w:val="22"/>
        </w:rPr>
      </w:pPr>
      <w:r w:rsidRPr="003563A9">
        <w:rPr>
          <w:rFonts w:ascii="Arial Narrow" w:hAnsi="Arial Narrow"/>
          <w:sz w:val="22"/>
          <w:szCs w:val="22"/>
        </w:rPr>
        <w:t>Lepoglava, 30.10.2003.</w:t>
      </w:r>
    </w:p>
    <w:p w:rsidR="00574612" w:rsidRPr="003563A9" w:rsidRDefault="00574612" w:rsidP="00574612">
      <w:pPr>
        <w:pStyle w:val="Podnoje"/>
        <w:tabs>
          <w:tab w:val="left" w:pos="708"/>
        </w:tabs>
        <w:jc w:val="both"/>
        <w:rPr>
          <w:rFonts w:ascii="Arial Narrow" w:hAnsi="Arial Narrow"/>
          <w:sz w:val="22"/>
          <w:szCs w:val="22"/>
        </w:rPr>
      </w:pPr>
    </w:p>
    <w:p w:rsidR="00574612" w:rsidRPr="003563A9" w:rsidRDefault="00574612" w:rsidP="00574612">
      <w:pPr>
        <w:pStyle w:val="Podnoje"/>
        <w:tabs>
          <w:tab w:val="left" w:pos="708"/>
        </w:tabs>
        <w:jc w:val="both"/>
        <w:rPr>
          <w:rFonts w:ascii="Arial Narrow" w:hAnsi="Arial Narrow"/>
          <w:sz w:val="22"/>
          <w:szCs w:val="22"/>
        </w:rPr>
      </w:pPr>
    </w:p>
    <w:p w:rsidR="00574612" w:rsidRPr="003563A9" w:rsidRDefault="00574612" w:rsidP="00574612">
      <w:pPr>
        <w:rPr>
          <w:rFonts w:ascii="Arial Narrow" w:hAnsi="Arial Narrow"/>
          <w:sz w:val="22"/>
          <w:szCs w:val="22"/>
        </w:rPr>
      </w:pPr>
    </w:p>
    <w:p w:rsidR="00574612" w:rsidRPr="003563A9" w:rsidRDefault="00B11B9F" w:rsidP="00574612">
      <w:pPr>
        <w:rPr>
          <w:rFonts w:ascii="Arial Narrow" w:hAnsi="Arial Narrow"/>
          <w:sz w:val="22"/>
          <w:szCs w:val="22"/>
        </w:rPr>
      </w:pPr>
      <w:r>
        <w:rPr>
          <w:rFonts w:ascii="Arial Narrow" w:hAnsi="Arial Narrow"/>
          <w:sz w:val="22"/>
          <w:szCs w:val="22"/>
        </w:rPr>
        <w:t>Upravni odjel za proračun i financije</w:t>
      </w:r>
    </w:p>
    <w:p w:rsidR="00574612" w:rsidRPr="003563A9" w:rsidRDefault="00B11B9F" w:rsidP="00574612">
      <w:pPr>
        <w:rPr>
          <w:rFonts w:ascii="Arial Narrow" w:hAnsi="Arial Narrow"/>
          <w:sz w:val="22"/>
          <w:szCs w:val="22"/>
        </w:rPr>
      </w:pPr>
      <w:r>
        <w:rPr>
          <w:rFonts w:ascii="Arial Narrow" w:hAnsi="Arial Narrow"/>
          <w:sz w:val="22"/>
          <w:szCs w:val="22"/>
        </w:rPr>
        <w:t>KLASA</w:t>
      </w:r>
      <w:r w:rsidR="00574612" w:rsidRPr="003563A9">
        <w:rPr>
          <w:rFonts w:ascii="Arial Narrow" w:hAnsi="Arial Narrow"/>
          <w:sz w:val="22"/>
          <w:szCs w:val="22"/>
        </w:rPr>
        <w:t xml:space="preserve">: </w:t>
      </w:r>
      <w:r>
        <w:rPr>
          <w:rFonts w:ascii="Arial Narrow" w:hAnsi="Arial Narrow"/>
          <w:sz w:val="22"/>
          <w:szCs w:val="22"/>
        </w:rPr>
        <w:t>112-05/25-01/2</w:t>
      </w:r>
    </w:p>
    <w:p w:rsidR="00574612" w:rsidRPr="003563A9" w:rsidRDefault="00B11B9F" w:rsidP="00574612">
      <w:pPr>
        <w:rPr>
          <w:rFonts w:ascii="Arial Narrow" w:hAnsi="Arial Narrow"/>
          <w:sz w:val="22"/>
          <w:szCs w:val="22"/>
        </w:rPr>
      </w:pPr>
      <w:r>
        <w:rPr>
          <w:rFonts w:ascii="Arial Narrow" w:hAnsi="Arial Narrow"/>
          <w:sz w:val="22"/>
          <w:szCs w:val="22"/>
        </w:rPr>
        <w:t>URBROJ</w:t>
      </w:r>
      <w:r w:rsidR="003563A9" w:rsidRPr="003563A9">
        <w:rPr>
          <w:rFonts w:ascii="Arial Narrow" w:hAnsi="Arial Narrow"/>
          <w:sz w:val="22"/>
          <w:szCs w:val="22"/>
        </w:rPr>
        <w:t>:2186</w:t>
      </w:r>
      <w:r w:rsidR="00675230">
        <w:rPr>
          <w:rFonts w:ascii="Arial Narrow" w:hAnsi="Arial Narrow"/>
          <w:sz w:val="22"/>
          <w:szCs w:val="22"/>
        </w:rPr>
        <w:t>-9-0</w:t>
      </w:r>
      <w:r>
        <w:rPr>
          <w:rFonts w:ascii="Arial Narrow" w:hAnsi="Arial Narrow"/>
          <w:sz w:val="22"/>
          <w:szCs w:val="22"/>
        </w:rPr>
        <w:t>6/1-25-3</w:t>
      </w:r>
    </w:p>
    <w:p w:rsidR="00574612" w:rsidRPr="003563A9" w:rsidRDefault="00574612" w:rsidP="00574612">
      <w:pPr>
        <w:rPr>
          <w:rFonts w:ascii="Arial Narrow" w:hAnsi="Arial Narrow"/>
          <w:sz w:val="22"/>
          <w:szCs w:val="22"/>
        </w:rPr>
      </w:pPr>
      <w:r w:rsidRPr="003563A9">
        <w:rPr>
          <w:rFonts w:ascii="Arial Narrow" w:hAnsi="Arial Narrow"/>
          <w:sz w:val="22"/>
          <w:szCs w:val="22"/>
        </w:rPr>
        <w:t>Lepoglava,</w:t>
      </w:r>
      <w:r w:rsidR="003563A9" w:rsidRPr="003563A9">
        <w:rPr>
          <w:rFonts w:ascii="Arial Narrow" w:hAnsi="Arial Narrow"/>
          <w:sz w:val="22"/>
          <w:szCs w:val="22"/>
        </w:rPr>
        <w:t xml:space="preserve"> </w:t>
      </w:r>
      <w:r w:rsidR="00FF30F2">
        <w:rPr>
          <w:rFonts w:ascii="Arial Narrow" w:hAnsi="Arial Narrow"/>
          <w:sz w:val="22"/>
          <w:szCs w:val="22"/>
        </w:rPr>
        <w:t>02. listopada 2025.</w:t>
      </w:r>
    </w:p>
    <w:p w:rsidR="00574612" w:rsidRPr="003563A9" w:rsidRDefault="00574612" w:rsidP="00574612">
      <w:pPr>
        <w:rPr>
          <w:rFonts w:ascii="Arial Narrow" w:hAnsi="Arial Narrow"/>
          <w:sz w:val="22"/>
          <w:szCs w:val="22"/>
        </w:rPr>
      </w:pPr>
    </w:p>
    <w:p w:rsidR="00574612" w:rsidRPr="003563A9" w:rsidRDefault="000C69E9" w:rsidP="00574612">
      <w:pPr>
        <w:jc w:val="both"/>
        <w:rPr>
          <w:rFonts w:ascii="Arial Narrow" w:hAnsi="Arial Narrow"/>
          <w:sz w:val="22"/>
          <w:szCs w:val="22"/>
        </w:rPr>
      </w:pPr>
      <w:r w:rsidRPr="003563A9">
        <w:rPr>
          <w:rFonts w:ascii="Arial Narrow" w:hAnsi="Arial Narrow"/>
          <w:sz w:val="22"/>
          <w:szCs w:val="22"/>
        </w:rPr>
        <w:tab/>
      </w:r>
      <w:r w:rsidR="00574612" w:rsidRPr="00B3603C">
        <w:rPr>
          <w:rFonts w:ascii="Arial Narrow" w:hAnsi="Arial Narrow"/>
          <w:sz w:val="22"/>
          <w:szCs w:val="22"/>
        </w:rPr>
        <w:t>Na temelju članka 19. Zakona o službenicima i namještenicima u lokalnoj i područnoj (regionalnoj) samoupravi, («Narodne nov</w:t>
      </w:r>
      <w:r w:rsidR="00FF30F2">
        <w:rPr>
          <w:rFonts w:ascii="Arial Narrow" w:hAnsi="Arial Narrow"/>
          <w:sz w:val="22"/>
          <w:szCs w:val="22"/>
        </w:rPr>
        <w:t>ine» broj 86/08, 61/11, 04/18,</w:t>
      </w:r>
      <w:r w:rsidR="00574612" w:rsidRPr="00B3603C">
        <w:rPr>
          <w:rFonts w:ascii="Arial Narrow" w:hAnsi="Arial Narrow"/>
          <w:sz w:val="22"/>
          <w:szCs w:val="22"/>
        </w:rPr>
        <w:t>112/19</w:t>
      </w:r>
      <w:r w:rsidR="00FF30F2">
        <w:rPr>
          <w:rFonts w:ascii="Arial Narrow" w:hAnsi="Arial Narrow"/>
          <w:sz w:val="22"/>
          <w:szCs w:val="22"/>
        </w:rPr>
        <w:t xml:space="preserve"> i 17/25</w:t>
      </w:r>
      <w:r w:rsidR="00574612" w:rsidRPr="00B3603C">
        <w:rPr>
          <w:rFonts w:ascii="Arial Narrow" w:hAnsi="Arial Narrow"/>
          <w:sz w:val="22"/>
          <w:szCs w:val="22"/>
        </w:rPr>
        <w:t xml:space="preserve"> ), a u svezi Javnog natječaja za prijam u </w:t>
      </w:r>
      <w:r w:rsidR="00574612" w:rsidRPr="00FF30F2">
        <w:rPr>
          <w:rFonts w:ascii="Arial Narrow" w:hAnsi="Arial Narrow"/>
          <w:sz w:val="22"/>
          <w:szCs w:val="22"/>
        </w:rPr>
        <w:t xml:space="preserve">službu (objavljen u „Narodnim novinama“ broj </w:t>
      </w:r>
      <w:r w:rsidR="00FF30F2" w:rsidRPr="00FF30F2">
        <w:rPr>
          <w:rFonts w:ascii="Arial Narrow" w:hAnsi="Arial Narrow"/>
          <w:sz w:val="22"/>
          <w:szCs w:val="22"/>
        </w:rPr>
        <w:t>125 od 01.10.2025</w:t>
      </w:r>
      <w:r w:rsidR="00574612" w:rsidRPr="00FF30F2">
        <w:rPr>
          <w:rFonts w:ascii="Arial Narrow" w:hAnsi="Arial Narrow"/>
          <w:sz w:val="22"/>
          <w:szCs w:val="22"/>
        </w:rPr>
        <w:t xml:space="preserve">. godine), </w:t>
      </w:r>
      <w:r w:rsidR="00F0725E" w:rsidRPr="00FF30F2">
        <w:rPr>
          <w:rFonts w:ascii="Arial Narrow" w:hAnsi="Arial Narrow"/>
          <w:sz w:val="22"/>
          <w:szCs w:val="22"/>
        </w:rPr>
        <w:t>pročelnica</w:t>
      </w:r>
      <w:r w:rsidR="00F0725E">
        <w:rPr>
          <w:rFonts w:ascii="Arial Narrow" w:hAnsi="Arial Narrow"/>
          <w:sz w:val="22"/>
          <w:szCs w:val="22"/>
        </w:rPr>
        <w:t xml:space="preserve"> Upravnog odjela za proračun i financije,</w:t>
      </w:r>
      <w:r w:rsidR="00574612" w:rsidRPr="00B3603C">
        <w:rPr>
          <w:rFonts w:ascii="Arial Narrow" w:hAnsi="Arial Narrow"/>
          <w:sz w:val="22"/>
          <w:szCs w:val="22"/>
        </w:rPr>
        <w:t xml:space="preserve"> objavljuje</w:t>
      </w:r>
    </w:p>
    <w:p w:rsidR="00574612" w:rsidRPr="003563A9" w:rsidRDefault="00574612" w:rsidP="00574612">
      <w:pPr>
        <w:rPr>
          <w:rFonts w:ascii="Arial Narrow" w:hAnsi="Arial Narrow"/>
          <w:sz w:val="22"/>
          <w:szCs w:val="22"/>
        </w:rPr>
      </w:pP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OBAVIJEST I UPUTE O PRAVNIM I DRUGIM IZVORIMA </w:t>
      </w: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ZA PRIPREMANJE KANDIDATA ZA PRETHODNU PROVJERU </w:t>
      </w: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ZNANJA I SPOSOBNOSTI</w:t>
      </w:r>
    </w:p>
    <w:p w:rsidR="00574612" w:rsidRPr="003563A9" w:rsidRDefault="00574612" w:rsidP="00574612">
      <w:pPr>
        <w:jc w:val="center"/>
        <w:rPr>
          <w:rFonts w:ascii="Arial Narrow" w:hAnsi="Arial Narrow"/>
          <w:b/>
          <w:sz w:val="22"/>
          <w:szCs w:val="22"/>
        </w:rPr>
      </w:pPr>
    </w:p>
    <w:p w:rsidR="00574612" w:rsidRPr="003563A9" w:rsidRDefault="00574612" w:rsidP="00574612">
      <w:pPr>
        <w:jc w:val="center"/>
        <w:rPr>
          <w:rFonts w:ascii="Arial Narrow" w:hAnsi="Arial Narrow"/>
          <w:b/>
          <w:sz w:val="22"/>
          <w:szCs w:val="22"/>
        </w:rPr>
      </w:pPr>
    </w:p>
    <w:p w:rsidR="00F0725E" w:rsidRPr="00F0725E" w:rsidRDefault="00675230" w:rsidP="00F0725E">
      <w:pPr>
        <w:jc w:val="both"/>
        <w:rPr>
          <w:rFonts w:ascii="Arial Narrow" w:hAnsi="Arial Narrow"/>
          <w:sz w:val="22"/>
          <w:szCs w:val="22"/>
        </w:rPr>
      </w:pPr>
      <w:r>
        <w:rPr>
          <w:rFonts w:ascii="Arial Narrow" w:hAnsi="Arial Narrow"/>
          <w:sz w:val="22"/>
          <w:szCs w:val="22"/>
        </w:rPr>
        <w:t xml:space="preserve">Javni natječaj za </w:t>
      </w:r>
      <w:r w:rsidR="00F0725E">
        <w:rPr>
          <w:rFonts w:ascii="Arial Narrow" w:hAnsi="Arial Narrow"/>
          <w:sz w:val="22"/>
          <w:szCs w:val="22"/>
        </w:rPr>
        <w:t xml:space="preserve">prijam u službu </w:t>
      </w:r>
      <w:r w:rsidR="00F0725E" w:rsidRPr="00F0725E">
        <w:rPr>
          <w:rFonts w:ascii="Arial Narrow" w:hAnsi="Arial Narrow"/>
          <w:sz w:val="22"/>
          <w:szCs w:val="22"/>
        </w:rPr>
        <w:t xml:space="preserve">na radno mjesto: </w:t>
      </w:r>
    </w:p>
    <w:p w:rsidR="00F0725E" w:rsidRPr="00F0725E" w:rsidRDefault="00F0725E" w:rsidP="00F0725E">
      <w:pPr>
        <w:jc w:val="both"/>
        <w:rPr>
          <w:rFonts w:ascii="Arial Narrow" w:hAnsi="Arial Narrow"/>
          <w:sz w:val="22"/>
          <w:szCs w:val="22"/>
        </w:rPr>
      </w:pPr>
    </w:p>
    <w:p w:rsidR="00F0725E" w:rsidRPr="00F0725E" w:rsidRDefault="00F0725E" w:rsidP="00F0725E">
      <w:pPr>
        <w:jc w:val="both"/>
        <w:rPr>
          <w:rFonts w:ascii="Arial Narrow" w:hAnsi="Arial Narrow"/>
          <w:sz w:val="22"/>
          <w:szCs w:val="22"/>
        </w:rPr>
      </w:pPr>
      <w:r w:rsidRPr="00F0725E">
        <w:rPr>
          <w:rFonts w:ascii="Arial Narrow" w:hAnsi="Arial Narrow"/>
          <w:b/>
          <w:sz w:val="22"/>
          <w:szCs w:val="22"/>
        </w:rPr>
        <w:t>SAVJETNIK ZA PRORAČUN I FINANCIJE</w:t>
      </w:r>
      <w:r w:rsidRPr="00F0725E">
        <w:rPr>
          <w:rFonts w:ascii="Arial Narrow" w:hAnsi="Arial Narrow"/>
          <w:sz w:val="22"/>
          <w:szCs w:val="22"/>
        </w:rPr>
        <w:t xml:space="preserve"> (1 izvršitelj/</w:t>
      </w:r>
      <w:proofErr w:type="spellStart"/>
      <w:r w:rsidRPr="00F0725E">
        <w:rPr>
          <w:rFonts w:ascii="Arial Narrow" w:hAnsi="Arial Narrow"/>
          <w:sz w:val="22"/>
          <w:szCs w:val="22"/>
        </w:rPr>
        <w:t>ica</w:t>
      </w:r>
      <w:proofErr w:type="spellEnd"/>
      <w:r w:rsidRPr="00F0725E">
        <w:rPr>
          <w:rFonts w:ascii="Arial Narrow" w:hAnsi="Arial Narrow"/>
          <w:sz w:val="22"/>
          <w:szCs w:val="22"/>
        </w:rPr>
        <w:t>), na neodređeno vrijeme uz obvezni probni rad od 3 mjeseca</w:t>
      </w:r>
    </w:p>
    <w:p w:rsidR="00574612" w:rsidRPr="003563A9" w:rsidRDefault="00574612" w:rsidP="00574612">
      <w:pPr>
        <w:jc w:val="both"/>
        <w:rPr>
          <w:rFonts w:ascii="Arial Narrow" w:hAnsi="Arial Narrow"/>
          <w:b/>
          <w:sz w:val="22"/>
          <w:szCs w:val="22"/>
        </w:rPr>
      </w:pPr>
    </w:p>
    <w:p w:rsidR="00574612" w:rsidRPr="003563A9" w:rsidRDefault="00574612" w:rsidP="004D4506">
      <w:pPr>
        <w:jc w:val="both"/>
        <w:rPr>
          <w:rFonts w:ascii="Arial Narrow" w:hAnsi="Arial Narrow"/>
          <w:sz w:val="22"/>
          <w:szCs w:val="22"/>
        </w:rPr>
      </w:pPr>
      <w:r w:rsidRPr="003563A9">
        <w:rPr>
          <w:rFonts w:ascii="Arial Narrow" w:hAnsi="Arial Narrow"/>
          <w:sz w:val="22"/>
          <w:szCs w:val="22"/>
        </w:rPr>
        <w:t xml:space="preserve">Za kandidate koji ispunjavaju formalne uvjete iz </w:t>
      </w:r>
      <w:r w:rsidR="00F0725E">
        <w:rPr>
          <w:rFonts w:ascii="Arial Narrow" w:hAnsi="Arial Narrow"/>
          <w:sz w:val="22"/>
          <w:szCs w:val="22"/>
        </w:rPr>
        <w:t xml:space="preserve">javnog </w:t>
      </w:r>
      <w:r w:rsidRPr="003563A9">
        <w:rPr>
          <w:rFonts w:ascii="Arial Narrow" w:hAnsi="Arial Narrow"/>
          <w:sz w:val="22"/>
          <w:szCs w:val="22"/>
        </w:rPr>
        <w:t>natječaja provest će se prethodna provjera znanja i sposobnosti putem pisanog testiranja i intervjua. Pisano testiranje sastoji se od općeg i posebnog dijela.</w:t>
      </w:r>
    </w:p>
    <w:p w:rsidR="00574612" w:rsidRPr="003563A9" w:rsidRDefault="00574612" w:rsidP="00574612">
      <w:pPr>
        <w:jc w:val="both"/>
        <w:rPr>
          <w:rFonts w:ascii="Arial Narrow" w:hAnsi="Arial Narrow"/>
          <w:sz w:val="22"/>
          <w:szCs w:val="22"/>
        </w:rPr>
      </w:pPr>
    </w:p>
    <w:p w:rsidR="00574612" w:rsidRPr="003563A9" w:rsidRDefault="00574612" w:rsidP="00574612">
      <w:pPr>
        <w:jc w:val="both"/>
        <w:rPr>
          <w:rFonts w:ascii="Arial Narrow" w:hAnsi="Arial Narrow"/>
          <w:b/>
          <w:sz w:val="22"/>
          <w:szCs w:val="22"/>
          <w:u w:val="single"/>
        </w:rPr>
      </w:pPr>
      <w:r w:rsidRPr="003563A9">
        <w:rPr>
          <w:rFonts w:ascii="Arial Narrow" w:hAnsi="Arial Narrow"/>
          <w:b/>
          <w:sz w:val="22"/>
          <w:szCs w:val="22"/>
          <w:u w:val="single"/>
        </w:rPr>
        <w:t>PRAVNI I DRUGI IZVORI ZA PRIPREMANJE KANDIDATA ZA TESTIRANJE:</w:t>
      </w:r>
    </w:p>
    <w:p w:rsidR="00574612" w:rsidRPr="003563A9" w:rsidRDefault="00574612" w:rsidP="00574612">
      <w:pPr>
        <w:jc w:val="both"/>
        <w:rPr>
          <w:rFonts w:ascii="Arial Narrow" w:hAnsi="Arial Narrow"/>
          <w:sz w:val="22"/>
          <w:szCs w:val="22"/>
        </w:rPr>
      </w:pPr>
    </w:p>
    <w:p w:rsidR="00574612" w:rsidRPr="003563A9" w:rsidRDefault="00574612" w:rsidP="00574612">
      <w:pPr>
        <w:jc w:val="both"/>
        <w:rPr>
          <w:rFonts w:ascii="Arial Narrow" w:hAnsi="Arial Narrow"/>
          <w:b/>
          <w:i/>
          <w:sz w:val="22"/>
          <w:szCs w:val="22"/>
          <w:u w:val="single"/>
        </w:rPr>
      </w:pPr>
      <w:r w:rsidRPr="003563A9">
        <w:rPr>
          <w:rFonts w:ascii="Arial Narrow" w:hAnsi="Arial Narrow"/>
          <w:b/>
          <w:i/>
          <w:sz w:val="22"/>
          <w:szCs w:val="22"/>
          <w:u w:val="single"/>
        </w:rPr>
        <w:t>Opći dio:</w:t>
      </w:r>
    </w:p>
    <w:p w:rsidR="00574612" w:rsidRPr="003563A9" w:rsidRDefault="00574612" w:rsidP="003563A9">
      <w:pPr>
        <w:pStyle w:val="Odlomakpopisa"/>
        <w:numPr>
          <w:ilvl w:val="0"/>
          <w:numId w:val="3"/>
        </w:numPr>
        <w:tabs>
          <w:tab w:val="left" w:pos="567"/>
        </w:tabs>
        <w:ind w:left="567" w:hanging="207"/>
        <w:jc w:val="both"/>
        <w:rPr>
          <w:rFonts w:ascii="Arial Narrow" w:hAnsi="Arial Narrow" w:cs="Tahoma"/>
          <w:sz w:val="22"/>
          <w:szCs w:val="22"/>
        </w:rPr>
      </w:pPr>
      <w:r w:rsidRPr="003563A9">
        <w:rPr>
          <w:rFonts w:ascii="Arial Narrow" w:hAnsi="Arial Narrow" w:cs="Tahoma"/>
          <w:b/>
          <w:sz w:val="22"/>
          <w:szCs w:val="22"/>
        </w:rPr>
        <w:t>Ustav Republike Hrvatske</w:t>
      </w:r>
      <w:r w:rsidRPr="003563A9">
        <w:rPr>
          <w:rFonts w:ascii="Arial Narrow" w:hAnsi="Arial Narrow" w:cs="Tahoma"/>
          <w:sz w:val="22"/>
          <w:szCs w:val="22"/>
        </w:rPr>
        <w:t xml:space="preserve"> („Narodne novine“ br. 56/90, 135/97, 8/98-pročišćeni tekst, 113/00, 124/00-pročišćeni tekst, 28/01, 41/01-pročišćeni tekst, 55/01-ispravak, 76/10 </w:t>
      </w:r>
      <w:r w:rsidR="00611651">
        <w:rPr>
          <w:rFonts w:ascii="Arial Narrow" w:hAnsi="Arial Narrow" w:cs="Tahoma"/>
          <w:sz w:val="22"/>
          <w:szCs w:val="22"/>
        </w:rPr>
        <w:t>i 85/10-pročišćeni tekst i 5/14</w:t>
      </w:r>
      <w:r w:rsidRPr="003563A9">
        <w:rPr>
          <w:rFonts w:ascii="Arial Narrow" w:hAnsi="Arial Narrow" w:cs="Tahoma"/>
          <w:sz w:val="22"/>
          <w:szCs w:val="22"/>
        </w:rPr>
        <w:t>)</w:t>
      </w:r>
    </w:p>
    <w:p w:rsidR="00574612" w:rsidRPr="003563A9" w:rsidRDefault="00574612" w:rsidP="003563A9">
      <w:pPr>
        <w:pStyle w:val="StandardWeb"/>
        <w:numPr>
          <w:ilvl w:val="0"/>
          <w:numId w:val="3"/>
        </w:numPr>
        <w:tabs>
          <w:tab w:val="left" w:pos="567"/>
        </w:tabs>
        <w:spacing w:before="0" w:beforeAutospacing="0" w:after="0" w:afterAutospacing="0" w:line="240" w:lineRule="atLeast"/>
        <w:ind w:left="567" w:hanging="207"/>
        <w:rPr>
          <w:rFonts w:ascii="Arial Narrow" w:hAnsi="Arial Narrow" w:cs="Tahoma"/>
          <w:sz w:val="22"/>
          <w:szCs w:val="22"/>
        </w:rPr>
      </w:pPr>
      <w:r w:rsidRPr="003563A9">
        <w:rPr>
          <w:rFonts w:ascii="Arial Narrow" w:hAnsi="Arial Narrow" w:cs="Tahoma"/>
          <w:b/>
          <w:sz w:val="22"/>
          <w:szCs w:val="22"/>
        </w:rPr>
        <w:t>Zakon o lokalnoj i područnoj (regionalnoj) samoupravi</w:t>
      </w:r>
      <w:r w:rsidRPr="003563A9">
        <w:rPr>
          <w:rFonts w:ascii="Arial Narrow" w:hAnsi="Arial Narrow" w:cs="Tahoma"/>
          <w:sz w:val="22"/>
          <w:szCs w:val="22"/>
        </w:rPr>
        <w:t xml:space="preserve"> („Narodne </w:t>
      </w:r>
      <w:r w:rsidR="003563A9">
        <w:rPr>
          <w:rFonts w:ascii="Arial Narrow" w:hAnsi="Arial Narrow" w:cs="Tahoma"/>
          <w:sz w:val="22"/>
          <w:szCs w:val="22"/>
        </w:rPr>
        <w:t xml:space="preserve">novine“ br. 33/01, 60/01-     </w:t>
      </w:r>
      <w:r w:rsidRPr="003563A9">
        <w:rPr>
          <w:rFonts w:ascii="Arial Narrow" w:hAnsi="Arial Narrow" w:cs="Tahoma"/>
          <w:sz w:val="22"/>
          <w:szCs w:val="22"/>
        </w:rPr>
        <w:t xml:space="preserve">vjerodostojno tumačenje, 129/05, 109/07, 125/08, 36/09, 150/11, 144/12, 19/13 – pročišćeni tekst, 137/15-ispravak, 123/17, 98/19 i 144/20)  </w:t>
      </w:r>
    </w:p>
    <w:p w:rsidR="00574612" w:rsidRPr="003563A9"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Zakon o općem upravnom postupku</w:t>
      </w:r>
      <w:r w:rsidR="003563A9">
        <w:rPr>
          <w:rFonts w:ascii="Arial Narrow" w:hAnsi="Arial Narrow" w:cs="Tahoma"/>
          <w:sz w:val="22"/>
          <w:szCs w:val="22"/>
        </w:rPr>
        <w:t xml:space="preserve"> ( „Narodne novine“  br.</w:t>
      </w:r>
      <w:r w:rsidRPr="003563A9">
        <w:rPr>
          <w:rFonts w:ascii="Arial Narrow" w:hAnsi="Arial Narrow" w:cs="Tahoma"/>
          <w:sz w:val="22"/>
          <w:szCs w:val="22"/>
        </w:rPr>
        <w:t xml:space="preserve"> 47/09 i 110/21)</w:t>
      </w:r>
    </w:p>
    <w:p w:rsidR="00574612"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 xml:space="preserve">Statut Grada </w:t>
      </w:r>
      <w:r w:rsidRPr="00CB6F8A">
        <w:rPr>
          <w:rFonts w:ascii="Arial Narrow" w:hAnsi="Arial Narrow" w:cs="Tahoma"/>
          <w:b/>
          <w:sz w:val="22"/>
          <w:szCs w:val="22"/>
        </w:rPr>
        <w:t>Lepoglave</w:t>
      </w:r>
      <w:r w:rsidRPr="003563A9">
        <w:rPr>
          <w:rFonts w:ascii="Arial Narrow" w:hAnsi="Arial Narrow" w:cs="Tahoma"/>
          <w:sz w:val="22"/>
          <w:szCs w:val="22"/>
        </w:rPr>
        <w:t xml:space="preserve"> („Službeni vj</w:t>
      </w:r>
      <w:r w:rsidR="003563A9">
        <w:rPr>
          <w:rFonts w:ascii="Arial Narrow" w:hAnsi="Arial Narrow" w:cs="Tahoma"/>
          <w:sz w:val="22"/>
          <w:szCs w:val="22"/>
        </w:rPr>
        <w:t>esnik Varaždinske županije“ br.</w:t>
      </w:r>
      <w:r w:rsidRPr="003563A9">
        <w:rPr>
          <w:rFonts w:ascii="Arial Narrow" w:hAnsi="Arial Narrow" w:cs="Tahoma"/>
          <w:sz w:val="22"/>
          <w:szCs w:val="22"/>
        </w:rPr>
        <w:t xml:space="preserve"> 64/20 i 18/21)</w:t>
      </w:r>
    </w:p>
    <w:p w:rsidR="001978C4" w:rsidRDefault="001978C4"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Pr>
          <w:rFonts w:ascii="Arial Narrow" w:hAnsi="Arial Narrow" w:cs="Tahoma"/>
          <w:b/>
          <w:sz w:val="22"/>
          <w:szCs w:val="22"/>
        </w:rPr>
        <w:t xml:space="preserve">Uredba o uredskom poslovanju </w:t>
      </w:r>
      <w:r>
        <w:rPr>
          <w:rFonts w:ascii="Arial Narrow" w:hAnsi="Arial Narrow" w:cs="Tahoma"/>
          <w:sz w:val="22"/>
          <w:szCs w:val="22"/>
        </w:rPr>
        <w:t>(</w:t>
      </w:r>
      <w:r w:rsidRPr="001978C4">
        <w:rPr>
          <w:rFonts w:ascii="Arial Narrow" w:hAnsi="Arial Narrow" w:cs="Tahoma"/>
          <w:sz w:val="22"/>
          <w:szCs w:val="22"/>
        </w:rPr>
        <w:t>''Narodne novine'' br. 75/21)</w:t>
      </w:r>
    </w:p>
    <w:p w:rsidR="00F0725E" w:rsidRDefault="00F0725E" w:rsidP="00F0725E">
      <w:pPr>
        <w:pStyle w:val="StandardWeb"/>
        <w:tabs>
          <w:tab w:val="left" w:pos="567"/>
        </w:tabs>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tabs>
          <w:tab w:val="left" w:pos="567"/>
        </w:tabs>
        <w:spacing w:before="0" w:beforeAutospacing="0" w:after="0" w:afterAutospacing="0" w:line="240" w:lineRule="atLeast"/>
        <w:ind w:firstLine="567"/>
        <w:jc w:val="both"/>
        <w:rPr>
          <w:rFonts w:ascii="Arial Narrow" w:hAnsi="Arial Narrow" w:cs="Tahoma"/>
          <w:sz w:val="22"/>
          <w:szCs w:val="22"/>
        </w:rPr>
      </w:pPr>
      <w:r w:rsidRPr="003563A9">
        <w:rPr>
          <w:rFonts w:ascii="Arial Narrow" w:hAnsi="Arial Narrow" w:cs="Tahoma"/>
          <w:b/>
          <w:sz w:val="22"/>
          <w:szCs w:val="22"/>
        </w:rPr>
        <w:tab/>
      </w:r>
    </w:p>
    <w:p w:rsidR="00574612" w:rsidRPr="003563A9" w:rsidRDefault="00574612" w:rsidP="00574612">
      <w:pPr>
        <w:pStyle w:val="StandardWeb"/>
        <w:spacing w:before="0" w:beforeAutospacing="0" w:after="0" w:afterAutospacing="0" w:line="240" w:lineRule="atLeast"/>
        <w:jc w:val="both"/>
        <w:rPr>
          <w:rFonts w:ascii="Arial Narrow" w:hAnsi="Arial Narrow" w:cs="Tahoma"/>
          <w:b/>
          <w:i/>
          <w:sz w:val="22"/>
          <w:szCs w:val="22"/>
          <w:u w:val="single"/>
        </w:rPr>
      </w:pPr>
      <w:r w:rsidRPr="003563A9">
        <w:rPr>
          <w:rFonts w:ascii="Arial Narrow" w:hAnsi="Arial Narrow" w:cs="Tahoma"/>
          <w:b/>
          <w:i/>
          <w:sz w:val="22"/>
          <w:szCs w:val="22"/>
          <w:u w:val="single"/>
        </w:rPr>
        <w:t>Posebni dio:</w:t>
      </w:r>
    </w:p>
    <w:p w:rsidR="00324958" w:rsidRDefault="00324958" w:rsidP="00324958">
      <w:pPr>
        <w:widowControl w:val="0"/>
        <w:suppressAutoHyphens/>
        <w:ind w:left="426"/>
        <w:contextualSpacing/>
        <w:jc w:val="both"/>
        <w:rPr>
          <w:rFonts w:ascii="Arial Narrow" w:hAnsi="Arial Narrow" w:cs="Tahoma"/>
          <w:b/>
          <w:sz w:val="20"/>
          <w:szCs w:val="22"/>
        </w:rPr>
      </w:pP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t>Zakon o proračunu</w:t>
      </w:r>
      <w:r w:rsidRPr="004D4506">
        <w:rPr>
          <w:rFonts w:ascii="Arial Narrow" w:hAnsi="Arial Narrow" w:cs="Calibri"/>
          <w:iCs/>
          <w:sz w:val="22"/>
        </w:rPr>
        <w:t xml:space="preserve"> </w:t>
      </w:r>
      <w:r w:rsidRPr="00BF5C46">
        <w:rPr>
          <w:rFonts w:ascii="Arial Narrow" w:hAnsi="Arial Narrow" w:cs="Calibri"/>
          <w:iCs/>
        </w:rPr>
        <w:t>(„Narodne novine“ broj 144/21),</w:t>
      </w: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t xml:space="preserve">Zakon o financiranju jedinica lokalne i područne (regionalne) </w:t>
      </w:r>
      <w:r w:rsidRPr="00D6653B">
        <w:rPr>
          <w:rFonts w:ascii="Arial Narrow" w:hAnsi="Arial Narrow" w:cs="Calibri"/>
          <w:b/>
          <w:iCs/>
        </w:rPr>
        <w:t>samouprave</w:t>
      </w:r>
      <w:r w:rsidRPr="00BF5C46">
        <w:rPr>
          <w:rFonts w:ascii="Arial Narrow" w:hAnsi="Arial Narrow" w:cs="Calibri"/>
          <w:iCs/>
        </w:rPr>
        <w:t xml:space="preserve"> („Narodne novine“ broj 12</w:t>
      </w:r>
      <w:r>
        <w:rPr>
          <w:rFonts w:ascii="Arial Narrow" w:hAnsi="Arial Narrow" w:cs="Calibri"/>
          <w:iCs/>
        </w:rPr>
        <w:t>7</w:t>
      </w:r>
      <w:r w:rsidRPr="00BF5C46">
        <w:rPr>
          <w:rFonts w:ascii="Arial Narrow" w:hAnsi="Arial Narrow" w:cs="Calibri"/>
          <w:iCs/>
        </w:rPr>
        <w:t>/17, 138/20, 151/22 i 114/23),</w:t>
      </w: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t>Zakon o lokalnim porezima</w:t>
      </w:r>
      <w:r w:rsidRPr="004D4506">
        <w:rPr>
          <w:rFonts w:ascii="Arial Narrow" w:hAnsi="Arial Narrow" w:cs="Calibri"/>
          <w:iCs/>
          <w:sz w:val="22"/>
        </w:rPr>
        <w:t xml:space="preserve"> </w:t>
      </w:r>
      <w:r w:rsidRPr="00BF5C46">
        <w:rPr>
          <w:rFonts w:ascii="Arial Narrow" w:hAnsi="Arial Narrow" w:cs="Calibri"/>
          <w:iCs/>
        </w:rPr>
        <w:t>(„Narodne novine“ broj 115/16, 101/17, 114/22, 114/23 i 152/24)</w:t>
      </w: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lastRenderedPageBreak/>
        <w:t>Pravilnik o polugodišnjem i godišnjem izvještaju o izvršenju proračuna i financijskog plana</w:t>
      </w:r>
      <w:r w:rsidRPr="004D4506">
        <w:rPr>
          <w:rFonts w:ascii="Arial Narrow" w:hAnsi="Arial Narrow" w:cs="Calibri"/>
          <w:iCs/>
          <w:sz w:val="22"/>
        </w:rPr>
        <w:t xml:space="preserve"> </w:t>
      </w:r>
      <w:r w:rsidRPr="00BF5C46">
        <w:rPr>
          <w:rFonts w:ascii="Arial Narrow" w:hAnsi="Arial Narrow" w:cs="Calibri"/>
          <w:iCs/>
        </w:rPr>
        <w:t>(„Narodne novine“ broj 85/23),</w:t>
      </w: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t>Pravilnik o financijskom izvještavanju u proračunskom računovodstvu</w:t>
      </w:r>
      <w:r w:rsidRPr="004D4506">
        <w:rPr>
          <w:rFonts w:ascii="Arial Narrow" w:hAnsi="Arial Narrow" w:cs="Calibri"/>
          <w:iCs/>
          <w:sz w:val="22"/>
        </w:rPr>
        <w:t xml:space="preserve"> </w:t>
      </w:r>
      <w:r w:rsidRPr="00BF5C46">
        <w:rPr>
          <w:rFonts w:ascii="Arial Narrow" w:hAnsi="Arial Narrow" w:cs="Calibri"/>
          <w:iCs/>
        </w:rPr>
        <w:t>(„Narodne novine“ broj 37/22</w:t>
      </w:r>
      <w:r w:rsidR="00776338">
        <w:rPr>
          <w:rFonts w:ascii="Arial Narrow" w:hAnsi="Arial Narrow" w:cs="Calibri"/>
          <w:iCs/>
        </w:rPr>
        <w:t xml:space="preserve"> i 52/25</w:t>
      </w:r>
      <w:r w:rsidRPr="00BF5C46">
        <w:rPr>
          <w:rFonts w:ascii="Arial Narrow" w:hAnsi="Arial Narrow" w:cs="Calibri"/>
          <w:iCs/>
        </w:rPr>
        <w:t>),</w:t>
      </w:r>
    </w:p>
    <w:p w:rsidR="00D6653B" w:rsidRPr="00BF5C46" w:rsidRDefault="00D6653B" w:rsidP="00D6653B">
      <w:pPr>
        <w:numPr>
          <w:ilvl w:val="0"/>
          <w:numId w:val="7"/>
        </w:numPr>
        <w:spacing w:line="240" w:lineRule="atLeast"/>
        <w:jc w:val="both"/>
        <w:rPr>
          <w:rFonts w:ascii="Arial Narrow" w:hAnsi="Arial Narrow" w:cs="Calibri"/>
          <w:iCs/>
        </w:rPr>
      </w:pPr>
      <w:r w:rsidRPr="004D4506">
        <w:rPr>
          <w:rFonts w:ascii="Arial Narrow" w:hAnsi="Arial Narrow" w:cs="Calibri"/>
          <w:b/>
          <w:iCs/>
          <w:sz w:val="22"/>
        </w:rPr>
        <w:t>Pravilnik o proračunskom računovodstvu i računskom planu</w:t>
      </w:r>
      <w:r w:rsidRPr="004D4506">
        <w:rPr>
          <w:rFonts w:ascii="Arial Narrow" w:hAnsi="Arial Narrow" w:cs="Calibri"/>
          <w:iCs/>
          <w:sz w:val="22"/>
        </w:rPr>
        <w:t xml:space="preserve"> </w:t>
      </w:r>
      <w:r w:rsidRPr="00BF5C46">
        <w:rPr>
          <w:rFonts w:ascii="Arial Narrow" w:hAnsi="Arial Narrow" w:cs="Calibri"/>
          <w:iCs/>
        </w:rPr>
        <w:t>(„Narodne novine“ broj 158/23 i 154/24)</w:t>
      </w:r>
      <w:r>
        <w:rPr>
          <w:rFonts w:ascii="Arial Narrow" w:hAnsi="Arial Narrow" w:cs="Calibri"/>
          <w:iCs/>
        </w:rPr>
        <w:t>.</w:t>
      </w:r>
    </w:p>
    <w:p w:rsidR="00D6653B" w:rsidRDefault="00D6653B" w:rsidP="00324958">
      <w:pPr>
        <w:widowControl w:val="0"/>
        <w:suppressAutoHyphens/>
        <w:ind w:left="426"/>
        <w:contextualSpacing/>
        <w:jc w:val="both"/>
        <w:rPr>
          <w:rFonts w:ascii="Arial Narrow" w:hAnsi="Arial Narrow" w:cs="Tahoma"/>
          <w:b/>
          <w:sz w:val="20"/>
          <w:szCs w:val="22"/>
        </w:rPr>
      </w:pPr>
    </w:p>
    <w:p w:rsidR="001978C4" w:rsidRDefault="001978C4" w:rsidP="00574612">
      <w:pPr>
        <w:pStyle w:val="StandardWeb"/>
        <w:spacing w:before="0" w:beforeAutospacing="0" w:after="0" w:afterAutospacing="0" w:line="240" w:lineRule="atLeast"/>
        <w:rPr>
          <w:rFonts w:ascii="Arial Narrow" w:hAnsi="Arial Narrow" w:cs="Tahoma"/>
          <w:sz w:val="22"/>
          <w:szCs w:val="22"/>
        </w:rPr>
      </w:pPr>
    </w:p>
    <w:p w:rsidR="000C69E9" w:rsidRPr="003563A9" w:rsidRDefault="000C69E9" w:rsidP="00574612">
      <w:pPr>
        <w:pStyle w:val="StandardWeb"/>
        <w:spacing w:before="0" w:beforeAutospacing="0" w:after="0" w:afterAutospacing="0" w:line="240" w:lineRule="atLeast"/>
        <w:rPr>
          <w:rFonts w:ascii="Arial Narrow" w:hAnsi="Arial Narrow" w:cs="Tahoma"/>
          <w:b/>
          <w:sz w:val="22"/>
          <w:szCs w:val="22"/>
          <w:u w:val="single"/>
        </w:rPr>
      </w:pPr>
    </w:p>
    <w:p w:rsidR="00574612" w:rsidRPr="003563A9" w:rsidRDefault="00574612" w:rsidP="00574612">
      <w:pPr>
        <w:pStyle w:val="StandardWeb"/>
        <w:spacing w:before="0" w:beforeAutospacing="0" w:after="0" w:afterAutospacing="0" w:line="240" w:lineRule="atLeast"/>
        <w:rPr>
          <w:rFonts w:ascii="Arial Narrow" w:hAnsi="Arial Narrow" w:cs="Tahoma"/>
          <w:b/>
          <w:sz w:val="22"/>
          <w:szCs w:val="22"/>
          <w:u w:val="single"/>
        </w:rPr>
      </w:pPr>
      <w:r w:rsidRPr="003563A9">
        <w:rPr>
          <w:rFonts w:ascii="Arial Narrow" w:hAnsi="Arial Narrow" w:cs="Tahoma"/>
          <w:b/>
          <w:sz w:val="22"/>
          <w:szCs w:val="22"/>
          <w:u w:val="single"/>
        </w:rPr>
        <w:t>NAČIN OBAVLJANJA PRETHODNE PROVJERE ZNANJA I SPOSOBNOSTI:</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Prethodnoj provjeri znanja i sposobnosti kandidata mogu pristupiti samo kandidati koji ispunjavaju formalne uvjete iz </w:t>
      </w:r>
      <w:r w:rsidR="000B48D7">
        <w:rPr>
          <w:rFonts w:ascii="Arial Narrow" w:hAnsi="Arial Narrow" w:cs="Tahoma"/>
          <w:sz w:val="22"/>
          <w:szCs w:val="22"/>
        </w:rPr>
        <w:t xml:space="preserve">javnog </w:t>
      </w:r>
      <w:r w:rsidRPr="003563A9">
        <w:rPr>
          <w:rFonts w:ascii="Arial Narrow" w:hAnsi="Arial Narrow" w:cs="Tahoma"/>
          <w:sz w:val="22"/>
          <w:szCs w:val="22"/>
        </w:rPr>
        <w:t xml:space="preserve">natječaja. </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Smatra se da je kandidat, koji nije pristupio prethodnoj provjeri znanja</w:t>
      </w:r>
      <w:r w:rsidR="000B48D7">
        <w:rPr>
          <w:rFonts w:ascii="Arial Narrow" w:hAnsi="Arial Narrow" w:cs="Tahoma"/>
          <w:sz w:val="22"/>
          <w:szCs w:val="22"/>
        </w:rPr>
        <w:t xml:space="preserve">, povukao prijavu na natječaj. </w:t>
      </w:r>
      <w:r w:rsidRPr="003563A9">
        <w:rPr>
          <w:rFonts w:ascii="Arial Narrow" w:hAnsi="Arial Narrow" w:cs="Tahoma"/>
          <w:sz w:val="22"/>
          <w:szCs w:val="22"/>
        </w:rPr>
        <w:t>Prethodna provjera znanja obuhvaća pisano testiranje i intervju.</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Postupak provjere znanja i sposobnosti provodi Povjerenstvo za provedbu natječaja.</w:t>
      </w:r>
    </w:p>
    <w:p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 dolasku na prethodnu provjeru znanja, od kandidata će se zatražiti predočenje odgovarajuće isprave (osobne iskaznice ili putovnice) radi utvrđivanja identiteta. Kandidati koji ne mogu dokazati identitet ne mogu pristupiti prethodnoj provjeri.</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Po utvrđivanju identiteta, kandidatima će biti podijeljena pitanja za provjeru znanja iz odredbi navedenih zakona. Pisani test sastoji se od </w:t>
      </w:r>
      <w:r w:rsidRPr="003563A9">
        <w:rPr>
          <w:rFonts w:ascii="Arial Narrow" w:hAnsi="Arial Narrow" w:cs="Tahoma"/>
          <w:b/>
          <w:sz w:val="22"/>
          <w:szCs w:val="22"/>
        </w:rPr>
        <w:t>ukupno 20 pitanja, i to 10 pitanja iz općeg dijela i 10 pitanja iz posebnog dijela.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Svaki točan odgovor nosi 1 bod i</w:t>
      </w:r>
      <w:r w:rsidRPr="003563A9">
        <w:rPr>
          <w:rFonts w:ascii="Arial Narrow" w:hAnsi="Arial Narrow" w:cs="Tahoma"/>
          <w:sz w:val="22"/>
          <w:szCs w:val="22"/>
        </w:rPr>
        <w:t xml:space="preserve"> kandidat može </w:t>
      </w:r>
      <w:r w:rsidRPr="003563A9">
        <w:rPr>
          <w:rFonts w:ascii="Arial Narrow" w:hAnsi="Arial Narrow" w:cs="Tahoma"/>
          <w:b/>
          <w:sz w:val="22"/>
          <w:szCs w:val="22"/>
        </w:rPr>
        <w:t>za svaki dio provjere</w:t>
      </w:r>
      <w:r w:rsidRPr="003563A9">
        <w:rPr>
          <w:rFonts w:ascii="Arial Narrow" w:hAnsi="Arial Narrow" w:cs="Tahoma"/>
          <w:sz w:val="22"/>
          <w:szCs w:val="22"/>
        </w:rPr>
        <w:t xml:space="preserve"> znanja na pismenom dijelu </w:t>
      </w:r>
      <w:r w:rsidRPr="003563A9">
        <w:rPr>
          <w:rFonts w:ascii="Arial Narrow" w:hAnsi="Arial Narrow" w:cs="Tahoma"/>
          <w:b/>
          <w:sz w:val="22"/>
          <w:szCs w:val="22"/>
        </w:rPr>
        <w:t xml:space="preserve">ostvariti najviše 10 bodova. </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Na pisanom testiranju nije dozvoljeno koristiti se literaturom i zabilješkama, napuštati prostoriju, razgovarati s ostalim kandidatima niti na bilo koji drugi način remetiti koncentraciju kandidata, a mobitel je potrebno isključiti. Ukoliko pojedini kandidat prekrš</w:t>
      </w:r>
      <w:r w:rsidR="000B48D7">
        <w:rPr>
          <w:rFonts w:ascii="Arial Narrow" w:hAnsi="Arial Narrow" w:cs="Tahoma"/>
          <w:sz w:val="22"/>
          <w:szCs w:val="22"/>
        </w:rPr>
        <w:t>i naprijed navedena pravila bit</w:t>
      </w:r>
      <w:r w:rsidRPr="003563A9">
        <w:rPr>
          <w:rFonts w:ascii="Arial Narrow" w:hAnsi="Arial Narrow" w:cs="Tahoma"/>
          <w:sz w:val="22"/>
          <w:szCs w:val="22"/>
        </w:rPr>
        <w:t xml:space="preserve"> će udaljen s provjere znanja, a njegov/njezin rezultat Povjerenstvo neće priznati niti ocjenjivati.</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Pisano testiranje traje </w:t>
      </w:r>
      <w:r w:rsidRPr="003563A9">
        <w:rPr>
          <w:rFonts w:ascii="Arial Narrow" w:hAnsi="Arial Narrow" w:cs="Tahoma"/>
          <w:b/>
          <w:sz w:val="22"/>
          <w:szCs w:val="22"/>
        </w:rPr>
        <w:t>maksimalno 45 minuta.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Intervju se provodi samo s kandidatima koji su ostvarili </w:t>
      </w:r>
      <w:r w:rsidRPr="003563A9">
        <w:rPr>
          <w:rFonts w:ascii="Arial Narrow" w:hAnsi="Arial Narrow" w:cs="Tahoma"/>
          <w:b/>
          <w:sz w:val="22"/>
          <w:szCs w:val="22"/>
        </w:rPr>
        <w:t>najmanje 50% bodova iz svakog dijela provjere znanja</w:t>
      </w:r>
      <w:r w:rsidRPr="003563A9">
        <w:rPr>
          <w:rFonts w:ascii="Arial Narrow" w:hAnsi="Arial Narrow" w:cs="Tahoma"/>
          <w:sz w:val="22"/>
          <w:szCs w:val="22"/>
        </w:rPr>
        <w:t xml:space="preserve"> na provedenom testiranju, </w:t>
      </w:r>
      <w:r w:rsidRPr="003563A9">
        <w:rPr>
          <w:rFonts w:ascii="Arial Narrow" w:hAnsi="Arial Narrow" w:cs="Tahoma"/>
          <w:b/>
          <w:sz w:val="22"/>
          <w:szCs w:val="22"/>
        </w:rPr>
        <w:t>odnosno najmanje 5 bodova iz svakog dijela provjere znanja.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Povjerenstvo za provedbu natječaja kroz intervju s kandidatima utvrđuje snalažljivost, komunikativnost, kreativnost, profesionalne ciljeve i motivaciju za rad.</w:t>
      </w:r>
    </w:p>
    <w:p w:rsidR="00574612"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Na intervjuu kandidat može ostvariti maksimalno 10 bodova.</w:t>
      </w:r>
    </w:p>
    <w:p w:rsidR="000B48D7" w:rsidRPr="003563A9" w:rsidRDefault="000B48D7" w:rsidP="00574612">
      <w:pPr>
        <w:pStyle w:val="StandardWeb"/>
        <w:spacing w:before="0" w:beforeAutospacing="0" w:after="0" w:afterAutospacing="0" w:line="240" w:lineRule="atLeast"/>
        <w:jc w:val="both"/>
        <w:rPr>
          <w:rFonts w:ascii="Arial Narrow" w:hAnsi="Arial Narrow" w:cs="Tahoma"/>
          <w:b/>
          <w:sz w:val="22"/>
          <w:szCs w:val="22"/>
        </w:rPr>
      </w:pPr>
      <w:r>
        <w:rPr>
          <w:rFonts w:ascii="Arial Narrow" w:hAnsi="Arial Narrow" w:cs="Tahoma"/>
          <w:b/>
          <w:sz w:val="22"/>
          <w:szCs w:val="22"/>
        </w:rPr>
        <w:t>Smatra se da je kandidat zadovoljio ako je na intervjuu ostvario najmanje 5 bodova.</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Nakon provedenog postupka prethodne provjere znanja i sposobnosti, Povjerenstvo za provedbu </w:t>
      </w:r>
      <w:r w:rsidR="000B48D7">
        <w:rPr>
          <w:rFonts w:ascii="Arial Narrow" w:hAnsi="Arial Narrow" w:cs="Tahoma"/>
          <w:sz w:val="22"/>
          <w:szCs w:val="22"/>
        </w:rPr>
        <w:t xml:space="preserve">javnog </w:t>
      </w:r>
      <w:r w:rsidRPr="003563A9">
        <w:rPr>
          <w:rFonts w:ascii="Arial Narrow" w:hAnsi="Arial Narrow" w:cs="Tahoma"/>
          <w:sz w:val="22"/>
          <w:szCs w:val="22"/>
        </w:rPr>
        <w:t>natječaja utvrđuje rang listu kandidata prema ukupnom broju ostvarenih bodova na</w:t>
      </w:r>
      <w:r w:rsidR="000B48D7">
        <w:rPr>
          <w:rFonts w:ascii="Arial Narrow" w:hAnsi="Arial Narrow" w:cs="Tahoma"/>
          <w:sz w:val="22"/>
          <w:szCs w:val="22"/>
        </w:rPr>
        <w:t xml:space="preserve"> pisanom testiranju i intervjuu i </w:t>
      </w:r>
      <w:r w:rsidR="000B48D7" w:rsidRPr="003563A9">
        <w:rPr>
          <w:rFonts w:ascii="Arial Narrow" w:hAnsi="Arial Narrow" w:cs="Tahoma"/>
          <w:sz w:val="22"/>
          <w:szCs w:val="22"/>
        </w:rPr>
        <w:t xml:space="preserve">sastavlja </w:t>
      </w:r>
      <w:r w:rsidR="000B48D7">
        <w:rPr>
          <w:rFonts w:ascii="Arial Narrow" w:hAnsi="Arial Narrow" w:cs="Tahoma"/>
          <w:sz w:val="22"/>
          <w:szCs w:val="22"/>
        </w:rPr>
        <w:t>Izvješće o provedenom postupku koje dostavlja pročelniku Upravnog odjela za proračun i financije.</w:t>
      </w:r>
    </w:p>
    <w:p w:rsidR="00574612" w:rsidRDefault="00574612" w:rsidP="00574612">
      <w:pPr>
        <w:pStyle w:val="StandardWeb"/>
        <w:spacing w:before="0" w:beforeAutospacing="0" w:after="0" w:afterAutospacing="0"/>
        <w:rPr>
          <w:rFonts w:ascii="Arial Narrow" w:hAnsi="Arial Narrow" w:cs="Tahoma"/>
          <w:sz w:val="22"/>
          <w:szCs w:val="22"/>
        </w:rPr>
      </w:pPr>
    </w:p>
    <w:p w:rsidR="000B48D7" w:rsidRDefault="000B48D7" w:rsidP="00574612">
      <w:pPr>
        <w:pStyle w:val="StandardWeb"/>
        <w:spacing w:before="0" w:beforeAutospacing="0" w:after="0" w:afterAutospacing="0"/>
        <w:rPr>
          <w:rFonts w:ascii="Arial Narrow" w:hAnsi="Arial Narrow" w:cs="Tahoma"/>
          <w:sz w:val="22"/>
          <w:szCs w:val="22"/>
        </w:rPr>
      </w:pPr>
    </w:p>
    <w:p w:rsidR="00D02922" w:rsidRPr="004067B1" w:rsidRDefault="00E571D5" w:rsidP="004067B1">
      <w:pPr>
        <w:pStyle w:val="box8327754"/>
        <w:shd w:val="clear" w:color="auto" w:fill="FFFFFF"/>
        <w:spacing w:before="27" w:beforeAutospacing="0" w:after="0" w:afterAutospacing="0"/>
        <w:jc w:val="right"/>
        <w:textAlignment w:val="baseline"/>
        <w:rPr>
          <w:rFonts w:ascii="Arial Narrow" w:hAnsi="Arial Narrow"/>
          <w:b/>
          <w:color w:val="231F20"/>
          <w:sz w:val="22"/>
          <w:szCs w:val="22"/>
        </w:rPr>
      </w:pPr>
      <w:r w:rsidRPr="004067B1">
        <w:rPr>
          <w:rFonts w:ascii="Arial Narrow" w:hAnsi="Arial Narrow"/>
          <w:b/>
          <w:color w:val="231F20"/>
          <w:sz w:val="22"/>
          <w:szCs w:val="22"/>
        </w:rPr>
        <w:t>PROČELNICA</w:t>
      </w:r>
    </w:p>
    <w:p w:rsidR="00E571D5" w:rsidRPr="00675230" w:rsidRDefault="00CE78BE" w:rsidP="004067B1">
      <w:pPr>
        <w:pStyle w:val="box8327754"/>
        <w:shd w:val="clear" w:color="auto" w:fill="FFFFFF"/>
        <w:spacing w:before="27" w:beforeAutospacing="0" w:after="0" w:afterAutospacing="0"/>
        <w:jc w:val="right"/>
        <w:textAlignment w:val="baseline"/>
        <w:rPr>
          <w:rFonts w:ascii="Arial Narrow" w:hAnsi="Arial Narrow"/>
          <w:color w:val="231F20"/>
          <w:sz w:val="22"/>
          <w:szCs w:val="22"/>
        </w:rPr>
      </w:pPr>
      <w:r>
        <w:rPr>
          <w:rFonts w:ascii="Arial Narrow" w:hAnsi="Arial Narrow"/>
          <w:color w:val="231F20"/>
          <w:sz w:val="22"/>
          <w:szCs w:val="22"/>
        </w:rPr>
        <w:t xml:space="preserve">Marina Županić </w:t>
      </w:r>
      <w:proofErr w:type="spellStart"/>
      <w:r>
        <w:rPr>
          <w:rFonts w:ascii="Arial Narrow" w:hAnsi="Arial Narrow"/>
          <w:color w:val="231F20"/>
          <w:sz w:val="22"/>
          <w:szCs w:val="22"/>
        </w:rPr>
        <w:t>Hrupa</w:t>
      </w:r>
      <w:proofErr w:type="spellEnd"/>
      <w:r>
        <w:rPr>
          <w:rFonts w:ascii="Arial Narrow" w:hAnsi="Arial Narrow"/>
          <w:color w:val="231F20"/>
          <w:sz w:val="22"/>
          <w:szCs w:val="22"/>
        </w:rPr>
        <w:t xml:space="preserve">, </w:t>
      </w:r>
      <w:proofErr w:type="spellStart"/>
      <w:r>
        <w:rPr>
          <w:rFonts w:ascii="Arial Narrow" w:hAnsi="Arial Narrow"/>
          <w:color w:val="231F20"/>
          <w:sz w:val="22"/>
          <w:szCs w:val="22"/>
        </w:rPr>
        <w:t>mag</w:t>
      </w:r>
      <w:bookmarkStart w:id="0" w:name="_GoBack"/>
      <w:bookmarkEnd w:id="0"/>
      <w:r w:rsidR="00E571D5">
        <w:rPr>
          <w:rFonts w:ascii="Arial Narrow" w:hAnsi="Arial Narrow"/>
          <w:color w:val="231F20"/>
          <w:sz w:val="22"/>
          <w:szCs w:val="22"/>
        </w:rPr>
        <w:t>.oec</w:t>
      </w:r>
      <w:proofErr w:type="spellEnd"/>
      <w:r w:rsidR="00E571D5">
        <w:rPr>
          <w:rFonts w:ascii="Arial Narrow" w:hAnsi="Arial Narrow"/>
          <w:color w:val="231F20"/>
          <w:sz w:val="22"/>
          <w:szCs w:val="22"/>
        </w:rPr>
        <w:t>.</w:t>
      </w:r>
    </w:p>
    <w:sectPr w:rsidR="00E571D5" w:rsidRPr="00675230" w:rsidSect="00600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21E7"/>
    <w:multiLevelType w:val="multilevel"/>
    <w:tmpl w:val="518E4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8769CD"/>
    <w:multiLevelType w:val="hybridMultilevel"/>
    <w:tmpl w:val="217C0486"/>
    <w:lvl w:ilvl="0" w:tplc="2E26CD9A">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EC53A6"/>
    <w:multiLevelType w:val="hybridMultilevel"/>
    <w:tmpl w:val="C090EDAA"/>
    <w:lvl w:ilvl="0" w:tplc="47E81F94">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A65918"/>
    <w:multiLevelType w:val="hybridMultilevel"/>
    <w:tmpl w:val="060A0ECE"/>
    <w:lvl w:ilvl="0" w:tplc="198EB040">
      <w:start w:val="1"/>
      <w:numFmt w:val="bullet"/>
      <w:lvlText w:val="-"/>
      <w:lvlJc w:val="left"/>
      <w:pPr>
        <w:ind w:left="1080" w:hanging="360"/>
      </w:pPr>
      <w:rPr>
        <w:rFonts w:ascii="Times New Roman" w:eastAsia="Times New Roman" w:hAnsi="Times New Roman" w:cs="Times New Roman" w:hint="default"/>
        <w:b w:val="0"/>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533B399B"/>
    <w:multiLevelType w:val="hybridMultilevel"/>
    <w:tmpl w:val="70DAE248"/>
    <w:lvl w:ilvl="0" w:tplc="2E26CD9A">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FF334B1"/>
    <w:multiLevelType w:val="hybridMultilevel"/>
    <w:tmpl w:val="4DFE6374"/>
    <w:lvl w:ilvl="0" w:tplc="9202FA34">
      <w:start w:val="9"/>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B3C35C3"/>
    <w:multiLevelType w:val="hybridMultilevel"/>
    <w:tmpl w:val="FF228A6C"/>
    <w:lvl w:ilvl="0" w:tplc="C476A044">
      <w:numFmt w:val="bullet"/>
      <w:lvlText w:val="-"/>
      <w:lvlJc w:val="left"/>
      <w:pPr>
        <w:ind w:left="930" w:hanging="360"/>
      </w:pPr>
      <w:rPr>
        <w:rFonts w:ascii="Arial Narrow" w:eastAsia="Times New Roman" w:hAnsi="Arial Narrow" w:cs="Tahoma"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12"/>
    <w:rsid w:val="000049A0"/>
    <w:rsid w:val="000848B4"/>
    <w:rsid w:val="000B48D7"/>
    <w:rsid w:val="000C69E9"/>
    <w:rsid w:val="001978C4"/>
    <w:rsid w:val="00214DF8"/>
    <w:rsid w:val="002B7B52"/>
    <w:rsid w:val="00324958"/>
    <w:rsid w:val="003563A9"/>
    <w:rsid w:val="004067B1"/>
    <w:rsid w:val="004433B2"/>
    <w:rsid w:val="004D4506"/>
    <w:rsid w:val="00574612"/>
    <w:rsid w:val="005A7683"/>
    <w:rsid w:val="005B0B36"/>
    <w:rsid w:val="00611651"/>
    <w:rsid w:val="00675230"/>
    <w:rsid w:val="006A74A0"/>
    <w:rsid w:val="00776338"/>
    <w:rsid w:val="009846FB"/>
    <w:rsid w:val="00AE12ED"/>
    <w:rsid w:val="00B11B9F"/>
    <w:rsid w:val="00B3603C"/>
    <w:rsid w:val="00CB6F8A"/>
    <w:rsid w:val="00CE78BE"/>
    <w:rsid w:val="00D02922"/>
    <w:rsid w:val="00D6653B"/>
    <w:rsid w:val="00E571D5"/>
    <w:rsid w:val="00EB41FF"/>
    <w:rsid w:val="00F0725E"/>
    <w:rsid w:val="00FF3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ABF2C-957B-45A3-9D4F-78879A5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12"/>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semiHidden/>
    <w:unhideWhenUsed/>
    <w:qFormat/>
    <w:rsid w:val="00574612"/>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574612"/>
    <w:rPr>
      <w:rFonts w:ascii="Tahoma" w:eastAsia="Times New Roman" w:hAnsi="Tahoma"/>
      <w:b/>
      <w:kern w:val="28"/>
      <w:sz w:val="16"/>
      <w:szCs w:val="20"/>
    </w:rPr>
  </w:style>
  <w:style w:type="character" w:styleId="Hiperveza">
    <w:name w:val="Hyperlink"/>
    <w:basedOn w:val="Zadanifontodlomka"/>
    <w:semiHidden/>
    <w:unhideWhenUsed/>
    <w:rsid w:val="00574612"/>
    <w:rPr>
      <w:color w:val="0000FF"/>
      <w:u w:val="single"/>
    </w:rPr>
  </w:style>
  <w:style w:type="paragraph" w:styleId="StandardWeb">
    <w:name w:val="Normal (Web)"/>
    <w:basedOn w:val="Normal"/>
    <w:unhideWhenUsed/>
    <w:rsid w:val="00574612"/>
    <w:pPr>
      <w:spacing w:before="100" w:beforeAutospacing="1" w:after="100" w:afterAutospacing="1"/>
    </w:pPr>
  </w:style>
  <w:style w:type="paragraph" w:styleId="Podnoje">
    <w:name w:val="footer"/>
    <w:basedOn w:val="Normal"/>
    <w:link w:val="PodnojeChar"/>
    <w:semiHidden/>
    <w:unhideWhenUsed/>
    <w:rsid w:val="00574612"/>
    <w:pPr>
      <w:tabs>
        <w:tab w:val="center" w:pos="4153"/>
        <w:tab w:val="right" w:pos="8306"/>
      </w:tabs>
    </w:pPr>
  </w:style>
  <w:style w:type="character" w:customStyle="1" w:styleId="PodnojeChar">
    <w:name w:val="Podnožje Char"/>
    <w:basedOn w:val="Zadanifontodlomka"/>
    <w:link w:val="Podnoje"/>
    <w:semiHidden/>
    <w:rsid w:val="00574612"/>
    <w:rPr>
      <w:rFonts w:ascii="Times New Roman" w:eastAsia="Times New Roman" w:hAnsi="Times New Roman"/>
      <w:sz w:val="24"/>
      <w:szCs w:val="24"/>
      <w:lang w:eastAsia="hr-HR"/>
    </w:rPr>
  </w:style>
  <w:style w:type="paragraph" w:styleId="Povratnaomotnica">
    <w:name w:val="envelope return"/>
    <w:basedOn w:val="Normal"/>
    <w:semiHidden/>
    <w:unhideWhenUsed/>
    <w:rsid w:val="00574612"/>
    <w:rPr>
      <w:rFonts w:ascii="Arial" w:hAnsi="Arial"/>
      <w:kern w:val="28"/>
      <w:sz w:val="20"/>
      <w:szCs w:val="20"/>
      <w:lang w:val="en-AU"/>
    </w:rPr>
  </w:style>
  <w:style w:type="paragraph" w:styleId="Tijeloteksta">
    <w:name w:val="Body Text"/>
    <w:basedOn w:val="Normal"/>
    <w:link w:val="TijelotekstaChar"/>
    <w:semiHidden/>
    <w:unhideWhenUsed/>
    <w:rsid w:val="00574612"/>
    <w:pPr>
      <w:jc w:val="both"/>
    </w:pPr>
  </w:style>
  <w:style w:type="character" w:customStyle="1" w:styleId="TijelotekstaChar">
    <w:name w:val="Tijelo teksta Char"/>
    <w:basedOn w:val="Zadanifontodlomka"/>
    <w:link w:val="Tijeloteksta"/>
    <w:semiHidden/>
    <w:rsid w:val="00574612"/>
    <w:rPr>
      <w:rFonts w:ascii="Times New Roman" w:eastAsia="Times New Roman" w:hAnsi="Times New Roman"/>
      <w:sz w:val="24"/>
      <w:szCs w:val="24"/>
      <w:lang w:eastAsia="hr-HR"/>
    </w:rPr>
  </w:style>
  <w:style w:type="character" w:styleId="Naglaeno">
    <w:name w:val="Strong"/>
    <w:basedOn w:val="Zadanifontodlomka"/>
    <w:uiPriority w:val="22"/>
    <w:qFormat/>
    <w:rsid w:val="00574612"/>
    <w:rPr>
      <w:b/>
      <w:bCs/>
    </w:rPr>
  </w:style>
  <w:style w:type="paragraph" w:styleId="Odlomakpopisa">
    <w:name w:val="List Paragraph"/>
    <w:basedOn w:val="Normal"/>
    <w:uiPriority w:val="34"/>
    <w:qFormat/>
    <w:rsid w:val="003563A9"/>
    <w:pPr>
      <w:ind w:left="720"/>
      <w:contextualSpacing/>
    </w:pPr>
  </w:style>
  <w:style w:type="paragraph" w:customStyle="1" w:styleId="box8327754">
    <w:name w:val="box_8327754"/>
    <w:basedOn w:val="Normal"/>
    <w:rsid w:val="002B7B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712</Words>
  <Characters>4061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21</cp:revision>
  <cp:lastPrinted>2025-10-02T06:19:00Z</cp:lastPrinted>
  <dcterms:created xsi:type="dcterms:W3CDTF">2022-07-15T07:21:00Z</dcterms:created>
  <dcterms:modified xsi:type="dcterms:W3CDTF">2025-10-02T06:29:00Z</dcterms:modified>
</cp:coreProperties>
</file>